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
        <w:rPr>
          <w:rFonts w:ascii="Times New Roman"/>
          <w:i w:val="0"/>
          <w:sz w:val="20"/>
        </w:rPr>
      </w:pPr>
      <w:r>
        <w:rPr>
          <w:rFonts w:ascii="Times New Roman"/>
          <w:i w:val="0"/>
          <w:sz w:val="20"/>
        </w:rPr>
        <w:drawing>
          <wp:inline distT="0" distB="0" distL="0" distR="0">
            <wp:extent cx="1871635" cy="3905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871635" cy="390525"/>
                    </a:xfrm>
                    <a:prstGeom prst="rect">
                      <a:avLst/>
                    </a:prstGeom>
                  </pic:spPr>
                </pic:pic>
              </a:graphicData>
            </a:graphic>
          </wp:inline>
        </w:drawing>
      </w:r>
      <w:r>
        <w:rPr>
          <w:rFonts w:ascii="Times New Roman"/>
          <w:i w:val="0"/>
          <w:sz w:val="20"/>
        </w:rPr>
      </w:r>
    </w:p>
    <w:p>
      <w:pPr>
        <w:pStyle w:val="BodyText"/>
        <w:rPr>
          <w:rFonts w:ascii="Times New Roman"/>
          <w:i w:val="0"/>
          <w:sz w:val="20"/>
        </w:rPr>
      </w:pPr>
    </w:p>
    <w:p>
      <w:pPr>
        <w:pStyle w:val="BodyText"/>
        <w:rPr>
          <w:rFonts w:ascii="Times New Roman"/>
          <w:i w:val="0"/>
          <w:sz w:val="20"/>
        </w:rPr>
      </w:pPr>
    </w:p>
    <w:p>
      <w:pPr>
        <w:pStyle w:val="Title"/>
        <w:spacing w:before="198"/>
        <w:ind w:left="2575" w:right="2169"/>
      </w:pPr>
      <w:r>
        <w:rPr>
          <w:i/>
          <w:color w:val="00B0F0"/>
        </w:rPr>
        <w:t>Template</w:t>
      </w:r>
      <w:r>
        <w:rPr>
          <w:i/>
          <w:color w:val="00B0F0"/>
          <w:spacing w:val="-8"/>
        </w:rPr>
        <w:t> </w:t>
      </w:r>
      <w:r>
        <w:rPr>
          <w:i/>
          <w:color w:val="00B0F0"/>
        </w:rPr>
        <w:t>for</w:t>
      </w:r>
      <w:r>
        <w:rPr>
          <w:i/>
          <w:color w:val="00B0F0"/>
          <w:spacing w:val="-6"/>
        </w:rPr>
        <w:t> </w:t>
      </w:r>
      <w:r>
        <w:rPr/>
        <w:t>Departmental</w:t>
      </w:r>
      <w:r>
        <w:rPr>
          <w:spacing w:val="-4"/>
        </w:rPr>
        <w:t> </w:t>
      </w:r>
      <w:r>
        <w:rPr/>
        <w:t>Examination</w:t>
      </w:r>
      <w:r>
        <w:rPr>
          <w:spacing w:val="-7"/>
        </w:rPr>
        <w:t> </w:t>
      </w:r>
      <w:r>
        <w:rPr/>
        <w:t>Board</w:t>
      </w:r>
      <w:r>
        <w:rPr>
          <w:spacing w:val="-9"/>
        </w:rPr>
        <w:t> </w:t>
      </w:r>
      <w:r>
        <w:rPr/>
        <w:t>Minutes SECTION B – ANALYSIS OF EXAMINATION DATA</w:t>
      </w:r>
    </w:p>
    <w:p>
      <w:pPr>
        <w:pStyle w:val="BodyText"/>
        <w:rPr>
          <w:b/>
          <w:i w:val="0"/>
          <w:sz w:val="20"/>
        </w:rPr>
      </w:pPr>
    </w:p>
    <w:p>
      <w:pPr>
        <w:pStyle w:val="BodyText"/>
        <w:rPr>
          <w:b/>
          <w:i w:val="0"/>
          <w:sz w:val="20"/>
        </w:rPr>
      </w:pPr>
    </w:p>
    <w:p>
      <w:pPr>
        <w:pStyle w:val="BodyText"/>
        <w:spacing w:before="11"/>
        <w:rPr>
          <w:b/>
          <w:i w:val="0"/>
          <w:sz w:val="11"/>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2"/>
      </w:tblGrid>
      <w:tr>
        <w:trPr>
          <w:trHeight w:val="412" w:hRule="atLeast"/>
        </w:trPr>
        <w:tc>
          <w:tcPr>
            <w:tcW w:w="2572" w:type="dxa"/>
          </w:tcPr>
          <w:p>
            <w:pPr>
              <w:pStyle w:val="TableParagraph"/>
              <w:spacing w:line="244" w:lineRule="exact"/>
              <w:ind w:left="50"/>
              <w:rPr>
                <w:sz w:val="24"/>
              </w:rPr>
            </w:pPr>
            <w:r>
              <w:rPr>
                <w:spacing w:val="-2"/>
                <w:sz w:val="24"/>
              </w:rPr>
              <w:t>Department:</w:t>
            </w:r>
          </w:p>
        </w:tc>
      </w:tr>
      <w:tr>
        <w:trPr>
          <w:trHeight w:val="585" w:hRule="atLeast"/>
        </w:trPr>
        <w:tc>
          <w:tcPr>
            <w:tcW w:w="2572" w:type="dxa"/>
          </w:tcPr>
          <w:p>
            <w:pPr>
              <w:pStyle w:val="TableParagraph"/>
              <w:spacing w:before="124"/>
              <w:ind w:left="50"/>
              <w:rPr>
                <w:sz w:val="24"/>
              </w:rPr>
            </w:pPr>
            <w:r>
              <w:rPr>
                <w:spacing w:val="-2"/>
                <w:sz w:val="24"/>
              </w:rPr>
              <w:t>Semester/Year:</w:t>
            </w:r>
          </w:p>
        </w:tc>
      </w:tr>
      <w:tr>
        <w:trPr>
          <w:trHeight w:val="412" w:hRule="atLeast"/>
        </w:trPr>
        <w:tc>
          <w:tcPr>
            <w:tcW w:w="2572" w:type="dxa"/>
          </w:tcPr>
          <w:p>
            <w:pPr>
              <w:pStyle w:val="TableParagraph"/>
              <w:spacing w:line="269" w:lineRule="exact" w:before="124"/>
              <w:ind w:left="50"/>
              <w:rPr>
                <w:sz w:val="24"/>
              </w:rPr>
            </w:pPr>
            <w:r>
              <w:rPr>
                <w:sz w:val="24"/>
              </w:rPr>
              <w:t>Examination</w:t>
            </w:r>
            <w:r>
              <w:rPr>
                <w:spacing w:val="-1"/>
                <w:sz w:val="24"/>
              </w:rPr>
              <w:t> </w:t>
            </w:r>
            <w:r>
              <w:rPr>
                <w:sz w:val="24"/>
              </w:rPr>
              <w:t>Board </w:t>
            </w:r>
            <w:r>
              <w:rPr>
                <w:spacing w:val="-2"/>
                <w:sz w:val="24"/>
              </w:rPr>
              <w:t>Chair:</w:t>
            </w:r>
          </w:p>
        </w:tc>
      </w:tr>
    </w:tbl>
    <w:p>
      <w:pPr>
        <w:pStyle w:val="BodyText"/>
        <w:rPr>
          <w:b/>
          <w:i w:val="0"/>
          <w:sz w:val="20"/>
        </w:rPr>
      </w:pPr>
    </w:p>
    <w:p>
      <w:pPr>
        <w:pStyle w:val="BodyText"/>
        <w:rPr>
          <w:b/>
          <w:i w:val="0"/>
          <w:sz w:val="20"/>
        </w:rPr>
      </w:pPr>
    </w:p>
    <w:p>
      <w:pPr>
        <w:pStyle w:val="BodyText"/>
        <w:spacing w:before="3"/>
        <w:rPr>
          <w:b/>
          <w:i w:val="0"/>
          <w:sz w:val="28"/>
        </w:rPr>
      </w:pPr>
    </w:p>
    <w:p>
      <w:pPr>
        <w:pStyle w:val="Title"/>
        <w:ind w:firstLine="0"/>
        <w:jc w:val="both"/>
      </w:pPr>
      <w:r>
        <w:rPr/>
        <w:t>Module</w:t>
      </w:r>
      <w:r>
        <w:rPr>
          <w:spacing w:val="-1"/>
        </w:rPr>
        <w:t> </w:t>
      </w:r>
      <w:r>
        <w:rPr/>
        <w:t>and</w:t>
      </w:r>
      <w:r>
        <w:rPr>
          <w:spacing w:val="-2"/>
        </w:rPr>
        <w:t> </w:t>
      </w:r>
      <w:r>
        <w:rPr/>
        <w:t>Mark </w:t>
      </w:r>
      <w:r>
        <w:rPr>
          <w:spacing w:val="-2"/>
        </w:rPr>
        <w:t>Comparisons</w:t>
      </w:r>
    </w:p>
    <w:p>
      <w:pPr>
        <w:pStyle w:val="BodyText"/>
        <w:spacing w:before="1"/>
        <w:rPr>
          <w:b/>
          <w:i w:val="0"/>
        </w:rPr>
      </w:pPr>
    </w:p>
    <w:p>
      <w:pPr>
        <w:pStyle w:val="BodyText"/>
        <w:spacing w:before="1"/>
        <w:ind w:left="112" w:right="873"/>
        <w:jc w:val="both"/>
      </w:pPr>
      <w:r>
        <w:rPr>
          <w:i/>
          <w:color w:val="00B0F0"/>
        </w:rPr>
        <w:t>Departments should list all modules examined this Semester and provide a record of any thoughts</w:t>
      </w:r>
      <w:r>
        <w:rPr>
          <w:color w:val="00B0F0"/>
        </w:rPr>
        <w:t> and discussions on issues such as moderation, module performance analysis over several years, a commentary</w:t>
      </w:r>
      <w:r>
        <w:rPr>
          <w:color w:val="00B0F0"/>
          <w:spacing w:val="-12"/>
        </w:rPr>
        <w:t> </w:t>
      </w:r>
      <w:r>
        <w:rPr>
          <w:color w:val="00B0F0"/>
        </w:rPr>
        <w:t>on</w:t>
      </w:r>
      <w:r>
        <w:rPr>
          <w:color w:val="00B0F0"/>
          <w:spacing w:val="-14"/>
        </w:rPr>
        <w:t> </w:t>
      </w:r>
      <w:r>
        <w:rPr>
          <w:color w:val="00B0F0"/>
        </w:rPr>
        <w:t>any</w:t>
      </w:r>
      <w:r>
        <w:rPr>
          <w:color w:val="00B0F0"/>
          <w:spacing w:val="-11"/>
        </w:rPr>
        <w:t> </w:t>
      </w:r>
      <w:r>
        <w:rPr>
          <w:color w:val="00B0F0"/>
        </w:rPr>
        <w:t>modules</w:t>
      </w:r>
      <w:r>
        <w:rPr>
          <w:color w:val="00B0F0"/>
          <w:spacing w:val="-13"/>
        </w:rPr>
        <w:t> </w:t>
      </w:r>
      <w:r>
        <w:rPr>
          <w:color w:val="00B0F0"/>
        </w:rPr>
        <w:t>with</w:t>
      </w:r>
      <w:r>
        <w:rPr>
          <w:color w:val="00B0F0"/>
          <w:spacing w:val="-14"/>
        </w:rPr>
        <w:t> </w:t>
      </w:r>
      <w:r>
        <w:rPr>
          <w:color w:val="00B0F0"/>
        </w:rPr>
        <w:t>consistently</w:t>
      </w:r>
      <w:r>
        <w:rPr>
          <w:color w:val="00B0F0"/>
          <w:spacing w:val="-11"/>
        </w:rPr>
        <w:t> </w:t>
      </w:r>
      <w:r>
        <w:rPr>
          <w:color w:val="00B0F0"/>
        </w:rPr>
        <w:t>high</w:t>
      </w:r>
      <w:r>
        <w:rPr>
          <w:color w:val="00B0F0"/>
          <w:spacing w:val="-14"/>
        </w:rPr>
        <w:t> </w:t>
      </w:r>
      <w:r>
        <w:rPr>
          <w:color w:val="00B0F0"/>
        </w:rPr>
        <w:t>failure</w:t>
      </w:r>
      <w:r>
        <w:rPr>
          <w:color w:val="00B0F0"/>
          <w:spacing w:val="-12"/>
        </w:rPr>
        <w:t> </w:t>
      </w:r>
      <w:r>
        <w:rPr>
          <w:color w:val="00B0F0"/>
        </w:rPr>
        <w:t>rates,</w:t>
      </w:r>
      <w:r>
        <w:rPr>
          <w:color w:val="00B0F0"/>
          <w:spacing w:val="-13"/>
        </w:rPr>
        <w:t> </w:t>
      </w:r>
      <w:r>
        <w:rPr>
          <w:color w:val="00B0F0"/>
        </w:rPr>
        <w:t>or</w:t>
      </w:r>
      <w:r>
        <w:rPr>
          <w:color w:val="00B0F0"/>
          <w:spacing w:val="-14"/>
        </w:rPr>
        <w:t> </w:t>
      </w:r>
      <w:r>
        <w:rPr>
          <w:color w:val="00B0F0"/>
        </w:rPr>
        <w:t>any</w:t>
      </w:r>
      <w:r>
        <w:rPr>
          <w:color w:val="00B0F0"/>
          <w:spacing w:val="-11"/>
        </w:rPr>
        <w:t> </w:t>
      </w:r>
      <w:r>
        <w:rPr>
          <w:color w:val="00B0F0"/>
        </w:rPr>
        <w:t>modules</w:t>
      </w:r>
      <w:r>
        <w:rPr>
          <w:color w:val="00B0F0"/>
          <w:spacing w:val="-13"/>
        </w:rPr>
        <w:t> </w:t>
      </w:r>
      <w:r>
        <w:rPr>
          <w:color w:val="00B0F0"/>
        </w:rPr>
        <w:t>outside</w:t>
      </w:r>
      <w:r>
        <w:rPr>
          <w:color w:val="00B0F0"/>
          <w:spacing w:val="-13"/>
        </w:rPr>
        <w:t> </w:t>
      </w:r>
      <w:r>
        <w:rPr>
          <w:color w:val="00B0F0"/>
        </w:rPr>
        <w:t>of</w:t>
      </w:r>
      <w:r>
        <w:rPr>
          <w:color w:val="00B0F0"/>
          <w:spacing w:val="-14"/>
        </w:rPr>
        <w:t> </w:t>
      </w:r>
      <w:r>
        <w:rPr>
          <w:color w:val="00B0F0"/>
        </w:rPr>
        <w:t>the</w:t>
      </w:r>
      <w:r>
        <w:rPr>
          <w:color w:val="00B0F0"/>
          <w:spacing w:val="-12"/>
        </w:rPr>
        <w:t> </w:t>
      </w:r>
      <w:r>
        <w:rPr>
          <w:color w:val="00B0F0"/>
        </w:rPr>
        <w:t>norm, eg, any significant changes in mean marks, or where students are consistently under- or over- performing on a module at cohort level, etc.</w:t>
      </w:r>
    </w:p>
    <w:p>
      <w:pPr>
        <w:pStyle w:val="BodyText"/>
        <w:spacing w:before="11"/>
        <w:rPr>
          <w:i/>
          <w:sz w:val="23"/>
        </w:rPr>
      </w:pPr>
    </w:p>
    <w:p>
      <w:pPr>
        <w:pStyle w:val="BodyText"/>
        <w:ind w:left="112" w:right="933"/>
        <w:jc w:val="both"/>
      </w:pPr>
      <w:r>
        <w:rPr>
          <w:i/>
          <w:color w:val="00B0F0"/>
        </w:rPr>
        <w:t>The</w:t>
      </w:r>
      <w:r>
        <w:rPr>
          <w:i/>
          <w:color w:val="00B0F0"/>
          <w:spacing w:val="-2"/>
        </w:rPr>
        <w:t> </w:t>
      </w:r>
      <w:r>
        <w:rPr>
          <w:i/>
          <w:color w:val="00B0F0"/>
        </w:rPr>
        <w:t>following</w:t>
      </w:r>
      <w:r>
        <w:rPr>
          <w:i/>
          <w:color w:val="00B0F0"/>
          <w:spacing w:val="-3"/>
        </w:rPr>
        <w:t> </w:t>
      </w:r>
      <w:r>
        <w:rPr>
          <w:i/>
          <w:color w:val="00B0F0"/>
        </w:rPr>
        <w:t>AStRA</w:t>
      </w:r>
      <w:r>
        <w:rPr>
          <w:i/>
          <w:color w:val="00B0F0"/>
          <w:spacing w:val="-2"/>
        </w:rPr>
        <w:t> </w:t>
      </w:r>
      <w:r>
        <w:rPr>
          <w:i/>
          <w:color w:val="00B0F0"/>
        </w:rPr>
        <w:t>reports</w:t>
      </w:r>
      <w:r>
        <w:rPr>
          <w:i/>
          <w:color w:val="00B0F0"/>
          <w:spacing w:val="-2"/>
        </w:rPr>
        <w:t> </w:t>
      </w:r>
      <w:r>
        <w:rPr>
          <w:i/>
          <w:color w:val="00B0F0"/>
        </w:rPr>
        <w:t>can</w:t>
      </w:r>
      <w:r>
        <w:rPr>
          <w:i/>
          <w:color w:val="00B0F0"/>
          <w:spacing w:val="-3"/>
        </w:rPr>
        <w:t> </w:t>
      </w:r>
      <w:r>
        <w:rPr>
          <w:i/>
          <w:color w:val="00B0F0"/>
        </w:rPr>
        <w:t>be</w:t>
      </w:r>
      <w:r>
        <w:rPr>
          <w:i/>
          <w:color w:val="00B0F0"/>
          <w:spacing w:val="-2"/>
        </w:rPr>
        <w:t> </w:t>
      </w:r>
      <w:r>
        <w:rPr>
          <w:i/>
          <w:color w:val="00B0F0"/>
        </w:rPr>
        <w:t>used</w:t>
      </w:r>
      <w:r>
        <w:rPr>
          <w:i/>
          <w:color w:val="00B0F0"/>
          <w:spacing w:val="-3"/>
        </w:rPr>
        <w:t> </w:t>
      </w:r>
      <w:r>
        <w:rPr>
          <w:i/>
          <w:color w:val="00B0F0"/>
        </w:rPr>
        <w:t>to</w:t>
      </w:r>
      <w:r>
        <w:rPr>
          <w:i/>
          <w:color w:val="00B0F0"/>
          <w:spacing w:val="-2"/>
        </w:rPr>
        <w:t> </w:t>
      </w:r>
      <w:r>
        <w:rPr>
          <w:i/>
          <w:color w:val="00B0F0"/>
        </w:rPr>
        <w:t>assist</w:t>
      </w:r>
      <w:r>
        <w:rPr>
          <w:i/>
          <w:color w:val="00B0F0"/>
          <w:spacing w:val="-3"/>
        </w:rPr>
        <w:t> </w:t>
      </w:r>
      <w:r>
        <w:rPr>
          <w:i/>
          <w:color w:val="00B0F0"/>
        </w:rPr>
        <w:t>with</w:t>
      </w:r>
      <w:r>
        <w:rPr>
          <w:i/>
          <w:color w:val="00B0F0"/>
          <w:spacing w:val="-3"/>
        </w:rPr>
        <w:t> </w:t>
      </w:r>
      <w:r>
        <w:rPr>
          <w:i/>
          <w:color w:val="00B0F0"/>
        </w:rPr>
        <w:t>the</w:t>
      </w:r>
      <w:r>
        <w:rPr>
          <w:i/>
          <w:color w:val="00B0F0"/>
          <w:spacing w:val="-2"/>
        </w:rPr>
        <w:t> </w:t>
      </w:r>
      <w:r>
        <w:rPr>
          <w:i/>
          <w:color w:val="00B0F0"/>
        </w:rPr>
        <w:t>data</w:t>
      </w:r>
      <w:r>
        <w:rPr>
          <w:i/>
          <w:color w:val="00B0F0"/>
          <w:spacing w:val="-3"/>
        </w:rPr>
        <w:t> </w:t>
      </w:r>
      <w:r>
        <w:rPr>
          <w:i/>
          <w:color w:val="00B0F0"/>
        </w:rPr>
        <w:t>analysis:</w:t>
      </w:r>
      <w:r>
        <w:rPr>
          <w:i/>
          <w:color w:val="00B0F0"/>
          <w:spacing w:val="40"/>
        </w:rPr>
        <w:t> </w:t>
      </w:r>
      <w:r>
        <w:rPr>
          <w:i/>
          <w:color w:val="00B0F0"/>
        </w:rPr>
        <w:t>STR03025</w:t>
      </w:r>
      <w:r>
        <w:rPr>
          <w:i/>
          <w:color w:val="00B0F0"/>
          <w:spacing w:val="-3"/>
        </w:rPr>
        <w:t> </w:t>
      </w:r>
      <w:r>
        <w:rPr>
          <w:i/>
          <w:color w:val="00B0F0"/>
        </w:rPr>
        <w:t>(Module</w:t>
      </w:r>
      <w:r>
        <w:rPr>
          <w:i/>
          <w:color w:val="00B0F0"/>
          <w:spacing w:val="-2"/>
        </w:rPr>
        <w:t> </w:t>
      </w:r>
      <w:r>
        <w:rPr>
          <w:i/>
          <w:color w:val="00B0F0"/>
        </w:rPr>
        <w:t>Marks</w:t>
      </w:r>
      <w:r>
        <w:rPr>
          <w:color w:val="00B0F0"/>
        </w:rPr>
        <w:t> – Summary by Semester/Department) and STR06027 (Marks Scatter).</w:t>
      </w:r>
    </w:p>
    <w:p>
      <w:pPr>
        <w:pStyle w:val="BodyText"/>
        <w:spacing w:before="11"/>
        <w:rPr>
          <w:i/>
          <w:sz w:val="21"/>
        </w:rPr>
      </w:pPr>
    </w:p>
    <w:p>
      <w:pPr>
        <w:spacing w:before="1"/>
        <w:ind w:left="112" w:right="0" w:firstLine="0"/>
        <w:jc w:val="left"/>
        <w:rPr>
          <w:sz w:val="22"/>
        </w:rPr>
      </w:pPr>
      <w:r>
        <w:rPr>
          <w:color w:val="C0504D"/>
          <w:spacing w:val="-2"/>
          <w:sz w:val="22"/>
        </w:rPr>
        <w:t>Example</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127"/>
        <w:gridCol w:w="709"/>
        <w:gridCol w:w="680"/>
        <w:gridCol w:w="740"/>
        <w:gridCol w:w="4820"/>
      </w:tblGrid>
      <w:tr>
        <w:trPr>
          <w:trHeight w:val="309" w:hRule="atLeast"/>
        </w:trPr>
        <w:tc>
          <w:tcPr>
            <w:tcW w:w="1277" w:type="dxa"/>
          </w:tcPr>
          <w:p>
            <w:pPr>
              <w:pStyle w:val="TableParagraph"/>
              <w:spacing w:line="268" w:lineRule="exact"/>
              <w:ind w:left="110"/>
              <w:rPr>
                <w:b/>
                <w:sz w:val="22"/>
              </w:rPr>
            </w:pPr>
            <w:r>
              <w:rPr>
                <w:b/>
                <w:sz w:val="22"/>
              </w:rPr>
              <w:t>Module</w:t>
            </w:r>
            <w:r>
              <w:rPr>
                <w:b/>
                <w:spacing w:val="-6"/>
                <w:sz w:val="22"/>
              </w:rPr>
              <w:t> </w:t>
            </w:r>
            <w:r>
              <w:rPr>
                <w:b/>
                <w:spacing w:val="-5"/>
                <w:sz w:val="22"/>
              </w:rPr>
              <w:t>ID</w:t>
            </w:r>
          </w:p>
        </w:tc>
        <w:tc>
          <w:tcPr>
            <w:tcW w:w="2127" w:type="dxa"/>
          </w:tcPr>
          <w:p>
            <w:pPr>
              <w:pStyle w:val="TableParagraph"/>
              <w:spacing w:line="268" w:lineRule="exact"/>
              <w:ind w:left="107"/>
              <w:rPr>
                <w:b/>
                <w:sz w:val="22"/>
              </w:rPr>
            </w:pPr>
            <w:r>
              <w:rPr>
                <w:b/>
                <w:sz w:val="22"/>
              </w:rPr>
              <w:t>Module</w:t>
            </w:r>
            <w:r>
              <w:rPr>
                <w:b/>
                <w:spacing w:val="-6"/>
                <w:sz w:val="22"/>
              </w:rPr>
              <w:t> </w:t>
            </w:r>
            <w:r>
              <w:rPr>
                <w:b/>
                <w:spacing w:val="-2"/>
                <w:sz w:val="22"/>
              </w:rPr>
              <w:t>Title</w:t>
            </w:r>
          </w:p>
        </w:tc>
        <w:tc>
          <w:tcPr>
            <w:tcW w:w="709" w:type="dxa"/>
          </w:tcPr>
          <w:p>
            <w:pPr>
              <w:pStyle w:val="TableParagraph"/>
              <w:spacing w:before="1"/>
              <w:ind w:left="106"/>
              <w:rPr>
                <w:b/>
                <w:sz w:val="20"/>
              </w:rPr>
            </w:pPr>
            <w:r>
              <w:rPr>
                <w:b/>
                <w:spacing w:val="-5"/>
                <w:sz w:val="20"/>
              </w:rPr>
              <w:t>Av</w:t>
            </w:r>
          </w:p>
        </w:tc>
        <w:tc>
          <w:tcPr>
            <w:tcW w:w="680" w:type="dxa"/>
          </w:tcPr>
          <w:p>
            <w:pPr>
              <w:pStyle w:val="TableParagraph"/>
              <w:spacing w:before="1"/>
              <w:ind w:left="106"/>
              <w:rPr>
                <w:b/>
                <w:sz w:val="20"/>
              </w:rPr>
            </w:pPr>
            <w:r>
              <w:rPr>
                <w:b/>
                <w:spacing w:val="-5"/>
                <w:sz w:val="20"/>
              </w:rPr>
              <w:t>SD</w:t>
            </w:r>
          </w:p>
        </w:tc>
        <w:tc>
          <w:tcPr>
            <w:tcW w:w="740" w:type="dxa"/>
          </w:tcPr>
          <w:p>
            <w:pPr>
              <w:pStyle w:val="TableParagraph"/>
              <w:spacing w:line="268" w:lineRule="exact"/>
              <w:ind w:left="105"/>
              <w:rPr>
                <w:b/>
                <w:sz w:val="22"/>
              </w:rPr>
            </w:pPr>
            <w:r>
              <w:rPr>
                <w:b/>
                <w:sz w:val="22"/>
              </w:rPr>
              <w:t>% </w:t>
            </w:r>
            <w:r>
              <w:rPr>
                <w:b/>
                <w:spacing w:val="-4"/>
                <w:sz w:val="22"/>
              </w:rPr>
              <w:t>fail</w:t>
            </w:r>
          </w:p>
        </w:tc>
        <w:tc>
          <w:tcPr>
            <w:tcW w:w="4820" w:type="dxa"/>
          </w:tcPr>
          <w:p>
            <w:pPr>
              <w:pStyle w:val="TableParagraph"/>
              <w:spacing w:line="268" w:lineRule="exact"/>
              <w:rPr>
                <w:b/>
                <w:sz w:val="22"/>
              </w:rPr>
            </w:pPr>
            <w:r>
              <w:rPr>
                <w:b/>
                <w:spacing w:val="-2"/>
                <w:sz w:val="22"/>
              </w:rPr>
              <w:t>Comments</w:t>
            </w:r>
          </w:p>
        </w:tc>
      </w:tr>
      <w:tr>
        <w:trPr>
          <w:trHeight w:val="2416" w:hRule="atLeast"/>
        </w:trPr>
        <w:tc>
          <w:tcPr>
            <w:tcW w:w="1277" w:type="dxa"/>
          </w:tcPr>
          <w:p>
            <w:pPr>
              <w:pStyle w:val="TableParagraph"/>
              <w:spacing w:line="268" w:lineRule="exact"/>
              <w:ind w:left="110"/>
              <w:rPr>
                <w:i/>
                <w:sz w:val="22"/>
              </w:rPr>
            </w:pPr>
            <w:r>
              <w:rPr>
                <w:i/>
                <w:color w:val="C0504D"/>
                <w:spacing w:val="-2"/>
                <w:sz w:val="22"/>
              </w:rPr>
              <w:t>XX21110</w:t>
            </w:r>
          </w:p>
        </w:tc>
        <w:tc>
          <w:tcPr>
            <w:tcW w:w="2127" w:type="dxa"/>
          </w:tcPr>
          <w:p>
            <w:pPr>
              <w:pStyle w:val="TableParagraph"/>
              <w:spacing w:line="268" w:lineRule="exact"/>
              <w:ind w:left="107"/>
              <w:rPr>
                <w:i/>
                <w:sz w:val="22"/>
              </w:rPr>
            </w:pPr>
            <w:r>
              <w:rPr>
                <w:i/>
                <w:color w:val="C0504D"/>
                <w:sz w:val="22"/>
              </w:rPr>
              <w:t>Research</w:t>
            </w:r>
            <w:r>
              <w:rPr>
                <w:i/>
                <w:color w:val="C0504D"/>
                <w:spacing w:val="-4"/>
                <w:sz w:val="22"/>
              </w:rPr>
              <w:t> </w:t>
            </w:r>
            <w:r>
              <w:rPr>
                <w:i/>
                <w:color w:val="C0504D"/>
                <w:spacing w:val="-2"/>
                <w:sz w:val="22"/>
              </w:rPr>
              <w:t>Skills</w:t>
            </w:r>
          </w:p>
        </w:tc>
        <w:tc>
          <w:tcPr>
            <w:tcW w:w="709" w:type="dxa"/>
          </w:tcPr>
          <w:p>
            <w:pPr>
              <w:pStyle w:val="TableParagraph"/>
              <w:spacing w:before="1"/>
              <w:ind w:left="106"/>
              <w:rPr>
                <w:i/>
                <w:sz w:val="20"/>
              </w:rPr>
            </w:pPr>
            <w:r>
              <w:rPr>
                <w:i/>
                <w:color w:val="C0504D"/>
                <w:spacing w:val="-2"/>
                <w:sz w:val="20"/>
              </w:rPr>
              <w:t>62.33</w:t>
            </w:r>
          </w:p>
        </w:tc>
        <w:tc>
          <w:tcPr>
            <w:tcW w:w="680" w:type="dxa"/>
          </w:tcPr>
          <w:p>
            <w:pPr>
              <w:pStyle w:val="TableParagraph"/>
              <w:spacing w:before="1"/>
              <w:ind w:left="106"/>
              <w:rPr>
                <w:i/>
                <w:sz w:val="20"/>
              </w:rPr>
            </w:pPr>
            <w:r>
              <w:rPr>
                <w:i/>
                <w:color w:val="C0504D"/>
                <w:spacing w:val="-2"/>
                <w:sz w:val="20"/>
              </w:rPr>
              <w:t>10.87</w:t>
            </w:r>
          </w:p>
        </w:tc>
        <w:tc>
          <w:tcPr>
            <w:tcW w:w="740" w:type="dxa"/>
          </w:tcPr>
          <w:p>
            <w:pPr>
              <w:pStyle w:val="TableParagraph"/>
              <w:spacing w:line="268" w:lineRule="exact"/>
              <w:ind w:left="105"/>
              <w:rPr>
                <w:i/>
                <w:sz w:val="22"/>
              </w:rPr>
            </w:pPr>
            <w:r>
              <w:rPr>
                <w:i/>
                <w:color w:val="C0504D"/>
                <w:spacing w:val="-5"/>
                <w:sz w:val="22"/>
              </w:rPr>
              <w:t>n/a</w:t>
            </w:r>
          </w:p>
        </w:tc>
        <w:tc>
          <w:tcPr>
            <w:tcW w:w="4820" w:type="dxa"/>
          </w:tcPr>
          <w:p>
            <w:pPr>
              <w:pStyle w:val="TableParagraph"/>
              <w:ind w:right="121"/>
              <w:rPr>
                <w:i/>
                <w:sz w:val="22"/>
              </w:rPr>
            </w:pPr>
            <w:r>
              <w:rPr>
                <w:i/>
                <w:color w:val="C0504D"/>
                <w:sz w:val="22"/>
              </w:rPr>
              <w:t>It was pleasing to see the mean for this module</w:t>
            </w:r>
            <w:r>
              <w:rPr>
                <w:i/>
                <w:color w:val="C0504D"/>
                <w:sz w:val="22"/>
              </w:rPr>
              <w:t> increase</w:t>
            </w:r>
            <w:r>
              <w:rPr>
                <w:i/>
                <w:color w:val="C0504D"/>
                <w:spacing w:val="-3"/>
                <w:sz w:val="22"/>
              </w:rPr>
              <w:t> </w:t>
            </w:r>
            <w:r>
              <w:rPr>
                <w:i/>
                <w:color w:val="C0504D"/>
                <w:sz w:val="22"/>
              </w:rPr>
              <w:t>by</w:t>
            </w:r>
            <w:r>
              <w:rPr>
                <w:i/>
                <w:color w:val="C0504D"/>
                <w:spacing w:val="-6"/>
                <w:sz w:val="22"/>
              </w:rPr>
              <w:t> </w:t>
            </w:r>
            <w:r>
              <w:rPr>
                <w:i/>
                <w:color w:val="C0504D"/>
                <w:sz w:val="22"/>
              </w:rPr>
              <w:t>4%</w:t>
            </w:r>
            <w:r>
              <w:rPr>
                <w:i/>
                <w:color w:val="C0504D"/>
                <w:spacing w:val="-5"/>
                <w:sz w:val="22"/>
              </w:rPr>
              <w:t> </w:t>
            </w:r>
            <w:r>
              <w:rPr>
                <w:i/>
                <w:color w:val="C0504D"/>
                <w:sz w:val="22"/>
              </w:rPr>
              <w:t>over</w:t>
            </w:r>
            <w:r>
              <w:rPr>
                <w:i/>
                <w:color w:val="C0504D"/>
                <w:spacing w:val="-4"/>
                <w:sz w:val="22"/>
              </w:rPr>
              <w:t> </w:t>
            </w:r>
            <w:r>
              <w:rPr>
                <w:i/>
                <w:color w:val="C0504D"/>
                <w:sz w:val="22"/>
              </w:rPr>
              <w:t>the</w:t>
            </w:r>
            <w:r>
              <w:rPr>
                <w:i/>
                <w:color w:val="C0504D"/>
                <w:spacing w:val="-5"/>
                <w:sz w:val="22"/>
              </w:rPr>
              <w:t> </w:t>
            </w:r>
            <w:r>
              <w:rPr>
                <w:i/>
                <w:color w:val="C0504D"/>
                <w:sz w:val="22"/>
              </w:rPr>
              <w:t>two</w:t>
            </w:r>
            <w:r>
              <w:rPr>
                <w:i/>
                <w:color w:val="C0504D"/>
                <w:spacing w:val="-3"/>
                <w:sz w:val="22"/>
              </w:rPr>
              <w:t> </w:t>
            </w:r>
            <w:r>
              <w:rPr>
                <w:i/>
                <w:color w:val="C0504D"/>
                <w:sz w:val="22"/>
              </w:rPr>
              <w:t>previous</w:t>
            </w:r>
            <w:r>
              <w:rPr>
                <w:i/>
                <w:color w:val="C0504D"/>
                <w:spacing w:val="-2"/>
                <w:sz w:val="22"/>
              </w:rPr>
              <w:t> </w:t>
            </w:r>
            <w:r>
              <w:rPr>
                <w:i/>
                <w:color w:val="C0504D"/>
                <w:sz w:val="22"/>
              </w:rPr>
              <w:t>years.</w:t>
            </w:r>
            <w:r>
              <w:rPr>
                <w:i/>
                <w:color w:val="C0504D"/>
                <w:spacing w:val="-6"/>
                <w:sz w:val="22"/>
              </w:rPr>
              <w:t> </w:t>
            </w:r>
            <w:r>
              <w:rPr>
                <w:i/>
                <w:color w:val="C0504D"/>
                <w:sz w:val="22"/>
              </w:rPr>
              <w:t>In</w:t>
            </w:r>
            <w:r>
              <w:rPr>
                <w:i/>
                <w:color w:val="C0504D"/>
                <w:spacing w:val="-4"/>
                <w:sz w:val="22"/>
              </w:rPr>
              <w:t> </w:t>
            </w:r>
            <w:r>
              <w:rPr>
                <w:i/>
                <w:color w:val="C0504D"/>
                <w:sz w:val="22"/>
              </w:rPr>
              <w:t>such a small class this was a result of some excellent performances in the short answer/data response section of the paper in which just over half of the students achieved a first class mark. The marks for the essay component were much lower. Numbers were smaller this year so it is pleasing to see an</w:t>
            </w:r>
          </w:p>
          <w:p>
            <w:pPr>
              <w:pStyle w:val="TableParagraph"/>
              <w:spacing w:line="249" w:lineRule="exact"/>
              <w:rPr>
                <w:i/>
                <w:sz w:val="22"/>
              </w:rPr>
            </w:pPr>
            <w:r>
              <w:rPr>
                <w:i/>
                <w:color w:val="C0504D"/>
                <w:sz w:val="22"/>
              </w:rPr>
              <w:t>increase</w:t>
            </w:r>
            <w:r>
              <w:rPr>
                <w:i/>
                <w:color w:val="C0504D"/>
                <w:spacing w:val="-3"/>
                <w:sz w:val="22"/>
              </w:rPr>
              <w:t> </w:t>
            </w:r>
            <w:r>
              <w:rPr>
                <w:i/>
                <w:color w:val="C0504D"/>
                <w:sz w:val="22"/>
              </w:rPr>
              <w:t>in</w:t>
            </w:r>
            <w:r>
              <w:rPr>
                <w:i/>
                <w:color w:val="C0504D"/>
                <w:spacing w:val="-5"/>
                <w:sz w:val="22"/>
              </w:rPr>
              <w:t> </w:t>
            </w:r>
            <w:r>
              <w:rPr>
                <w:i/>
                <w:color w:val="C0504D"/>
                <w:sz w:val="22"/>
              </w:rPr>
              <w:t>the</w:t>
            </w:r>
            <w:r>
              <w:rPr>
                <w:i/>
                <w:color w:val="C0504D"/>
                <w:spacing w:val="-3"/>
                <w:sz w:val="22"/>
              </w:rPr>
              <w:t> </w:t>
            </w:r>
            <w:r>
              <w:rPr>
                <w:i/>
                <w:color w:val="C0504D"/>
                <w:sz w:val="22"/>
              </w:rPr>
              <w:t>standard</w:t>
            </w:r>
            <w:r>
              <w:rPr>
                <w:i/>
                <w:color w:val="C0504D"/>
                <w:spacing w:val="-3"/>
                <w:sz w:val="22"/>
              </w:rPr>
              <w:t> </w:t>
            </w:r>
            <w:r>
              <w:rPr>
                <w:i/>
                <w:color w:val="C0504D"/>
                <w:spacing w:val="-2"/>
                <w:sz w:val="22"/>
              </w:rPr>
              <w:t>deviation.</w:t>
            </w:r>
          </w:p>
        </w:tc>
      </w:tr>
      <w:tr>
        <w:trPr>
          <w:trHeight w:val="3760" w:hRule="atLeast"/>
        </w:trPr>
        <w:tc>
          <w:tcPr>
            <w:tcW w:w="1277" w:type="dxa"/>
          </w:tcPr>
          <w:p>
            <w:pPr>
              <w:pStyle w:val="TableParagraph"/>
              <w:spacing w:line="268" w:lineRule="exact"/>
              <w:ind w:left="110"/>
              <w:rPr>
                <w:i/>
                <w:sz w:val="22"/>
              </w:rPr>
            </w:pPr>
            <w:r>
              <w:rPr>
                <w:i/>
                <w:color w:val="C0504D"/>
                <w:spacing w:val="-2"/>
                <w:sz w:val="22"/>
              </w:rPr>
              <w:t>XX20020</w:t>
            </w:r>
          </w:p>
        </w:tc>
        <w:tc>
          <w:tcPr>
            <w:tcW w:w="2127" w:type="dxa"/>
          </w:tcPr>
          <w:p>
            <w:pPr>
              <w:pStyle w:val="TableParagraph"/>
              <w:spacing w:line="268" w:lineRule="exact"/>
              <w:ind w:left="107"/>
              <w:rPr>
                <w:i/>
                <w:sz w:val="22"/>
              </w:rPr>
            </w:pPr>
            <w:r>
              <w:rPr>
                <w:i/>
                <w:color w:val="C0504D"/>
                <w:sz w:val="22"/>
              </w:rPr>
              <w:t>Writing</w:t>
            </w:r>
            <w:r>
              <w:rPr>
                <w:i/>
                <w:color w:val="C0504D"/>
                <w:spacing w:val="-5"/>
                <w:sz w:val="22"/>
              </w:rPr>
              <w:t> </w:t>
            </w:r>
            <w:r>
              <w:rPr>
                <w:i/>
                <w:color w:val="C0504D"/>
                <w:spacing w:val="-2"/>
                <w:sz w:val="22"/>
              </w:rPr>
              <w:t>Skills</w:t>
            </w:r>
          </w:p>
        </w:tc>
        <w:tc>
          <w:tcPr>
            <w:tcW w:w="709" w:type="dxa"/>
          </w:tcPr>
          <w:p>
            <w:pPr>
              <w:pStyle w:val="TableParagraph"/>
              <w:spacing w:before="1"/>
              <w:ind w:left="106"/>
              <w:rPr>
                <w:i/>
                <w:sz w:val="20"/>
              </w:rPr>
            </w:pPr>
            <w:r>
              <w:rPr>
                <w:i/>
                <w:color w:val="C0504D"/>
                <w:spacing w:val="-2"/>
                <w:sz w:val="20"/>
              </w:rPr>
              <w:t>48.37</w:t>
            </w:r>
          </w:p>
        </w:tc>
        <w:tc>
          <w:tcPr>
            <w:tcW w:w="680" w:type="dxa"/>
          </w:tcPr>
          <w:p>
            <w:pPr>
              <w:pStyle w:val="TableParagraph"/>
              <w:spacing w:before="1"/>
              <w:ind w:left="106"/>
              <w:rPr>
                <w:i/>
                <w:sz w:val="20"/>
              </w:rPr>
            </w:pPr>
            <w:r>
              <w:rPr>
                <w:i/>
                <w:color w:val="C0504D"/>
                <w:spacing w:val="-2"/>
                <w:sz w:val="20"/>
              </w:rPr>
              <w:t>16.74</w:t>
            </w:r>
          </w:p>
        </w:tc>
        <w:tc>
          <w:tcPr>
            <w:tcW w:w="740" w:type="dxa"/>
          </w:tcPr>
          <w:p>
            <w:pPr>
              <w:pStyle w:val="TableParagraph"/>
              <w:spacing w:line="268" w:lineRule="exact"/>
              <w:ind w:left="105"/>
              <w:rPr>
                <w:i/>
                <w:sz w:val="22"/>
              </w:rPr>
            </w:pPr>
            <w:r>
              <w:rPr>
                <w:i/>
                <w:color w:val="C0504D"/>
                <w:spacing w:val="-2"/>
                <w:sz w:val="22"/>
              </w:rPr>
              <w:t>39.62</w:t>
            </w:r>
          </w:p>
        </w:tc>
        <w:tc>
          <w:tcPr>
            <w:tcW w:w="4820" w:type="dxa"/>
          </w:tcPr>
          <w:p>
            <w:pPr>
              <w:pStyle w:val="TableParagraph"/>
              <w:ind w:right="121"/>
              <w:rPr>
                <w:i/>
                <w:sz w:val="22"/>
              </w:rPr>
            </w:pPr>
            <w:r>
              <w:rPr>
                <w:i/>
                <w:color w:val="C0504D"/>
                <w:sz w:val="22"/>
              </w:rPr>
              <w:t>Although</w:t>
            </w:r>
            <w:r>
              <w:rPr>
                <w:i/>
                <w:color w:val="C0504D"/>
                <w:spacing w:val="-5"/>
                <w:sz w:val="22"/>
              </w:rPr>
              <w:t> </w:t>
            </w:r>
            <w:r>
              <w:rPr>
                <w:i/>
                <w:color w:val="C0504D"/>
                <w:sz w:val="22"/>
              </w:rPr>
              <w:t>the</w:t>
            </w:r>
            <w:r>
              <w:rPr>
                <w:i/>
                <w:color w:val="C0504D"/>
                <w:spacing w:val="-4"/>
                <w:sz w:val="22"/>
              </w:rPr>
              <w:t> </w:t>
            </w:r>
            <w:r>
              <w:rPr>
                <w:i/>
                <w:color w:val="C0504D"/>
                <w:sz w:val="22"/>
              </w:rPr>
              <w:t>average</w:t>
            </w:r>
            <w:r>
              <w:rPr>
                <w:i/>
                <w:color w:val="C0504D"/>
                <w:spacing w:val="-6"/>
                <w:sz w:val="22"/>
              </w:rPr>
              <w:t> </w:t>
            </w:r>
            <w:r>
              <w:rPr>
                <w:i/>
                <w:color w:val="C0504D"/>
                <w:sz w:val="22"/>
              </w:rPr>
              <w:t>mark</w:t>
            </w:r>
            <w:r>
              <w:rPr>
                <w:i/>
                <w:color w:val="C0504D"/>
                <w:spacing w:val="-6"/>
                <w:sz w:val="22"/>
              </w:rPr>
              <w:t> </w:t>
            </w:r>
            <w:r>
              <w:rPr>
                <w:i/>
                <w:color w:val="C0504D"/>
                <w:sz w:val="22"/>
              </w:rPr>
              <w:t>of</w:t>
            </w:r>
            <w:r>
              <w:rPr>
                <w:i/>
                <w:color w:val="C0504D"/>
                <w:spacing w:val="-4"/>
                <w:sz w:val="22"/>
              </w:rPr>
              <w:t> </w:t>
            </w:r>
            <w:r>
              <w:rPr>
                <w:i/>
                <w:color w:val="C0504D"/>
                <w:sz w:val="22"/>
              </w:rPr>
              <w:t>48%</w:t>
            </w:r>
            <w:r>
              <w:rPr>
                <w:i/>
                <w:color w:val="C0504D"/>
                <w:spacing w:val="-3"/>
                <w:sz w:val="22"/>
              </w:rPr>
              <w:t> </w:t>
            </w:r>
            <w:r>
              <w:rPr>
                <w:i/>
                <w:color w:val="C0504D"/>
                <w:sz w:val="22"/>
              </w:rPr>
              <w:t>is</w:t>
            </w:r>
            <w:r>
              <w:rPr>
                <w:i/>
                <w:color w:val="C0504D"/>
                <w:spacing w:val="-3"/>
                <w:sz w:val="22"/>
              </w:rPr>
              <w:t> </w:t>
            </w:r>
            <w:r>
              <w:rPr>
                <w:i/>
                <w:color w:val="C0504D"/>
                <w:sz w:val="22"/>
              </w:rPr>
              <w:t>not</w:t>
            </w:r>
            <w:r>
              <w:rPr>
                <w:i/>
                <w:color w:val="C0504D"/>
                <w:spacing w:val="-3"/>
                <w:sz w:val="22"/>
              </w:rPr>
              <w:t> </w:t>
            </w:r>
            <w:r>
              <w:rPr>
                <w:i/>
                <w:color w:val="C0504D"/>
                <w:sz w:val="22"/>
              </w:rPr>
              <w:t>out</w:t>
            </w:r>
            <w:r>
              <w:rPr>
                <w:i/>
                <w:color w:val="C0504D"/>
                <w:spacing w:val="-6"/>
                <w:sz w:val="22"/>
              </w:rPr>
              <w:t> </w:t>
            </w:r>
            <w:r>
              <w:rPr>
                <w:i/>
                <w:color w:val="C0504D"/>
                <w:sz w:val="22"/>
              </w:rPr>
              <w:t>of</w:t>
            </w:r>
            <w:r>
              <w:rPr>
                <w:i/>
                <w:color w:val="C0504D"/>
                <w:spacing w:val="-4"/>
                <w:sz w:val="22"/>
              </w:rPr>
              <w:t> </w:t>
            </w:r>
            <w:r>
              <w:rPr>
                <w:i/>
                <w:color w:val="C0504D"/>
                <w:sz w:val="22"/>
              </w:rPr>
              <w:t>line</w:t>
            </w:r>
            <w:r>
              <w:rPr>
                <w:i/>
                <w:color w:val="C0504D"/>
                <w:sz w:val="22"/>
              </w:rPr>
              <w:t> with last year’s average, nor with other semester 1 modules this year, the performance of students on this unseen examination assessment continues to cause some concern, despite new efforts to enhance delivery of the module content.</w:t>
            </w:r>
            <w:r>
              <w:rPr>
                <w:i/>
                <w:color w:val="C0504D"/>
                <w:spacing w:val="40"/>
                <w:sz w:val="22"/>
              </w:rPr>
              <w:t> </w:t>
            </w:r>
            <w:r>
              <w:rPr>
                <w:i/>
                <w:color w:val="C0504D"/>
                <w:sz w:val="22"/>
              </w:rPr>
              <w:t>Students were required to provide essay answers to two questions from four, one each from each</w:t>
            </w:r>
          </w:p>
          <w:p>
            <w:pPr>
              <w:pStyle w:val="TableParagraph"/>
              <w:ind w:right="121"/>
              <w:rPr>
                <w:i/>
                <w:sz w:val="22"/>
              </w:rPr>
            </w:pPr>
            <w:r>
              <w:rPr>
                <w:i/>
                <w:color w:val="C0504D"/>
                <w:sz w:val="22"/>
              </w:rPr>
              <w:t>section.</w:t>
            </w:r>
            <w:r>
              <w:rPr>
                <w:i/>
                <w:color w:val="C0504D"/>
                <w:spacing w:val="36"/>
                <w:sz w:val="22"/>
              </w:rPr>
              <w:t> </w:t>
            </w:r>
            <w:r>
              <w:rPr>
                <w:i/>
                <w:color w:val="C0504D"/>
                <w:sz w:val="22"/>
              </w:rPr>
              <w:t>Marks</w:t>
            </w:r>
            <w:r>
              <w:rPr>
                <w:i/>
                <w:color w:val="C0504D"/>
                <w:spacing w:val="-5"/>
                <w:sz w:val="22"/>
              </w:rPr>
              <w:t> </w:t>
            </w:r>
            <w:r>
              <w:rPr>
                <w:i/>
                <w:color w:val="C0504D"/>
                <w:sz w:val="22"/>
              </w:rPr>
              <w:t>awarded</w:t>
            </w:r>
            <w:r>
              <w:rPr>
                <w:i/>
                <w:color w:val="C0504D"/>
                <w:spacing w:val="-7"/>
                <w:sz w:val="22"/>
              </w:rPr>
              <w:t> </w:t>
            </w:r>
            <w:r>
              <w:rPr>
                <w:i/>
                <w:color w:val="C0504D"/>
                <w:sz w:val="22"/>
              </w:rPr>
              <w:t>for</w:t>
            </w:r>
            <w:r>
              <w:rPr>
                <w:i/>
                <w:color w:val="C0504D"/>
                <w:spacing w:val="-5"/>
                <w:sz w:val="22"/>
              </w:rPr>
              <w:t> </w:t>
            </w:r>
            <w:r>
              <w:rPr>
                <w:i/>
                <w:color w:val="C0504D"/>
                <w:sz w:val="22"/>
              </w:rPr>
              <w:t>each</w:t>
            </w:r>
            <w:r>
              <w:rPr>
                <w:i/>
                <w:color w:val="C0504D"/>
                <w:spacing w:val="-7"/>
                <w:sz w:val="22"/>
              </w:rPr>
              <w:t> </w:t>
            </w:r>
            <w:r>
              <w:rPr>
                <w:i/>
                <w:color w:val="C0504D"/>
                <w:sz w:val="22"/>
              </w:rPr>
              <w:t>section’s</w:t>
            </w:r>
            <w:r>
              <w:rPr>
                <w:i/>
                <w:color w:val="C0504D"/>
                <w:sz w:val="22"/>
              </w:rPr>
              <w:t> questions were similar.</w:t>
            </w:r>
          </w:p>
          <w:p>
            <w:pPr>
              <w:pStyle w:val="TableParagraph"/>
              <w:rPr>
                <w:i/>
                <w:sz w:val="22"/>
              </w:rPr>
            </w:pPr>
            <w:r>
              <w:rPr>
                <w:i/>
                <w:color w:val="C0504D"/>
                <w:sz w:val="22"/>
              </w:rPr>
              <w:t>Common</w:t>
            </w:r>
            <w:r>
              <w:rPr>
                <w:i/>
                <w:color w:val="C0504D"/>
                <w:spacing w:val="-7"/>
                <w:sz w:val="22"/>
              </w:rPr>
              <w:t> </w:t>
            </w:r>
            <w:r>
              <w:rPr>
                <w:i/>
                <w:color w:val="C0504D"/>
                <w:sz w:val="22"/>
              </w:rPr>
              <w:t>reasons</w:t>
            </w:r>
            <w:r>
              <w:rPr>
                <w:i/>
                <w:color w:val="C0504D"/>
                <w:spacing w:val="-6"/>
                <w:sz w:val="22"/>
              </w:rPr>
              <w:t> </w:t>
            </w:r>
            <w:r>
              <w:rPr>
                <w:i/>
                <w:color w:val="C0504D"/>
                <w:sz w:val="22"/>
              </w:rPr>
              <w:t>for</w:t>
            </w:r>
            <w:r>
              <w:rPr>
                <w:i/>
                <w:color w:val="C0504D"/>
                <w:spacing w:val="-4"/>
                <w:sz w:val="22"/>
              </w:rPr>
              <w:t> </w:t>
            </w:r>
            <w:r>
              <w:rPr>
                <w:i/>
                <w:color w:val="C0504D"/>
                <w:sz w:val="22"/>
              </w:rPr>
              <w:t>low</w:t>
            </w:r>
            <w:r>
              <w:rPr>
                <w:i/>
                <w:color w:val="C0504D"/>
                <w:spacing w:val="-6"/>
                <w:sz w:val="22"/>
              </w:rPr>
              <w:t> </w:t>
            </w:r>
            <w:r>
              <w:rPr>
                <w:i/>
                <w:color w:val="C0504D"/>
                <w:sz w:val="22"/>
              </w:rPr>
              <w:t>marks</w:t>
            </w:r>
            <w:r>
              <w:rPr>
                <w:i/>
                <w:color w:val="C0504D"/>
                <w:spacing w:val="-4"/>
                <w:sz w:val="22"/>
              </w:rPr>
              <w:t> </w:t>
            </w:r>
            <w:r>
              <w:rPr>
                <w:i/>
                <w:color w:val="C0504D"/>
                <w:sz w:val="22"/>
              </w:rPr>
              <w:t>included:</w:t>
            </w:r>
            <w:r>
              <w:rPr>
                <w:i/>
                <w:color w:val="C0504D"/>
                <w:spacing w:val="-6"/>
                <w:sz w:val="22"/>
              </w:rPr>
              <w:t> </w:t>
            </w:r>
            <w:r>
              <w:rPr>
                <w:i/>
                <w:color w:val="C0504D"/>
                <w:sz w:val="22"/>
              </w:rPr>
              <w:t>Failure</w:t>
            </w:r>
            <w:r>
              <w:rPr>
                <w:i/>
                <w:color w:val="C0504D"/>
                <w:spacing w:val="-5"/>
                <w:sz w:val="22"/>
              </w:rPr>
              <w:t> </w:t>
            </w:r>
            <w:r>
              <w:rPr>
                <w:i/>
                <w:color w:val="C0504D"/>
                <w:sz w:val="22"/>
              </w:rPr>
              <w:t>to</w:t>
            </w:r>
            <w:r>
              <w:rPr>
                <w:i/>
                <w:color w:val="C0504D"/>
                <w:sz w:val="22"/>
              </w:rPr>
              <w:t> provide detailed information: poor answers were vague waffle, showing no evidence of lecture</w:t>
            </w:r>
          </w:p>
          <w:p>
            <w:pPr>
              <w:pStyle w:val="TableParagraph"/>
              <w:spacing w:line="249" w:lineRule="exact"/>
              <w:rPr>
                <w:i/>
                <w:sz w:val="22"/>
              </w:rPr>
            </w:pPr>
            <w:r>
              <w:rPr>
                <w:i/>
                <w:color w:val="C0504D"/>
                <w:sz w:val="22"/>
              </w:rPr>
              <w:t>attendance</w:t>
            </w:r>
            <w:r>
              <w:rPr>
                <w:i/>
                <w:color w:val="C0504D"/>
                <w:spacing w:val="-4"/>
                <w:sz w:val="22"/>
              </w:rPr>
              <w:t> </w:t>
            </w:r>
            <w:r>
              <w:rPr>
                <w:i/>
                <w:color w:val="C0504D"/>
                <w:sz w:val="22"/>
              </w:rPr>
              <w:t>or</w:t>
            </w:r>
            <w:r>
              <w:rPr>
                <w:i/>
                <w:color w:val="C0504D"/>
                <w:spacing w:val="-5"/>
                <w:sz w:val="22"/>
              </w:rPr>
              <w:t> </w:t>
            </w:r>
            <w:r>
              <w:rPr>
                <w:i/>
                <w:color w:val="C0504D"/>
                <w:sz w:val="22"/>
              </w:rPr>
              <w:t>reading;</w:t>
            </w:r>
            <w:r>
              <w:rPr>
                <w:i/>
                <w:color w:val="C0504D"/>
                <w:spacing w:val="-3"/>
                <w:sz w:val="22"/>
              </w:rPr>
              <w:t> </w:t>
            </w:r>
            <w:r>
              <w:rPr>
                <w:i/>
                <w:color w:val="C0504D"/>
                <w:sz w:val="22"/>
              </w:rPr>
              <w:t>failure</w:t>
            </w:r>
            <w:r>
              <w:rPr>
                <w:i/>
                <w:color w:val="C0504D"/>
                <w:spacing w:val="-3"/>
                <w:sz w:val="22"/>
              </w:rPr>
              <w:t> </w:t>
            </w:r>
            <w:r>
              <w:rPr>
                <w:i/>
                <w:color w:val="C0504D"/>
                <w:sz w:val="22"/>
              </w:rPr>
              <w:t>to</w:t>
            </w:r>
            <w:r>
              <w:rPr>
                <w:i/>
                <w:color w:val="C0504D"/>
                <w:spacing w:val="-4"/>
                <w:sz w:val="22"/>
              </w:rPr>
              <w:t> </w:t>
            </w:r>
            <w:r>
              <w:rPr>
                <w:i/>
                <w:color w:val="C0504D"/>
                <w:sz w:val="22"/>
              </w:rPr>
              <w:t>cite</w:t>
            </w:r>
            <w:r>
              <w:rPr>
                <w:i/>
                <w:color w:val="C0504D"/>
                <w:spacing w:val="-4"/>
                <w:sz w:val="22"/>
              </w:rPr>
              <w:t> </w:t>
            </w:r>
            <w:r>
              <w:rPr>
                <w:i/>
                <w:color w:val="C0504D"/>
                <w:sz w:val="22"/>
              </w:rPr>
              <w:t>evidence</w:t>
            </w:r>
            <w:r>
              <w:rPr>
                <w:i/>
                <w:color w:val="C0504D"/>
                <w:spacing w:val="-5"/>
                <w:sz w:val="22"/>
              </w:rPr>
              <w:t> in</w:t>
            </w:r>
          </w:p>
        </w:tc>
      </w:tr>
    </w:tbl>
    <w:p>
      <w:pPr>
        <w:spacing w:after="0" w:line="249" w:lineRule="exact"/>
        <w:rPr>
          <w:sz w:val="22"/>
        </w:rPr>
        <w:sectPr>
          <w:type w:val="continuous"/>
          <w:pgSz w:w="11910" w:h="16840"/>
          <w:pgMar w:top="1120" w:bottom="280" w:left="1020" w:right="200"/>
        </w:sect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2127"/>
        <w:gridCol w:w="709"/>
        <w:gridCol w:w="680"/>
        <w:gridCol w:w="740"/>
        <w:gridCol w:w="4820"/>
      </w:tblGrid>
      <w:tr>
        <w:trPr>
          <w:trHeight w:val="3491" w:hRule="atLeast"/>
        </w:trPr>
        <w:tc>
          <w:tcPr>
            <w:tcW w:w="1277" w:type="dxa"/>
          </w:tcPr>
          <w:p>
            <w:pPr>
              <w:pStyle w:val="TableParagraph"/>
              <w:ind w:left="0"/>
              <w:rPr>
                <w:rFonts w:ascii="Times New Roman"/>
                <w:sz w:val="22"/>
              </w:rPr>
            </w:pPr>
          </w:p>
        </w:tc>
        <w:tc>
          <w:tcPr>
            <w:tcW w:w="2127" w:type="dxa"/>
          </w:tcPr>
          <w:p>
            <w:pPr>
              <w:pStyle w:val="TableParagraph"/>
              <w:ind w:left="0"/>
              <w:rPr>
                <w:rFonts w:ascii="Times New Roman"/>
                <w:sz w:val="22"/>
              </w:rPr>
            </w:pPr>
          </w:p>
        </w:tc>
        <w:tc>
          <w:tcPr>
            <w:tcW w:w="709" w:type="dxa"/>
          </w:tcPr>
          <w:p>
            <w:pPr>
              <w:pStyle w:val="TableParagraph"/>
              <w:ind w:left="0"/>
              <w:rPr>
                <w:rFonts w:ascii="Times New Roman"/>
                <w:sz w:val="22"/>
              </w:rPr>
            </w:pPr>
          </w:p>
        </w:tc>
        <w:tc>
          <w:tcPr>
            <w:tcW w:w="680" w:type="dxa"/>
          </w:tcPr>
          <w:p>
            <w:pPr>
              <w:pStyle w:val="TableParagraph"/>
              <w:ind w:left="0"/>
              <w:rPr>
                <w:rFonts w:ascii="Times New Roman"/>
                <w:sz w:val="22"/>
              </w:rPr>
            </w:pPr>
          </w:p>
        </w:tc>
        <w:tc>
          <w:tcPr>
            <w:tcW w:w="740" w:type="dxa"/>
          </w:tcPr>
          <w:p>
            <w:pPr>
              <w:pStyle w:val="TableParagraph"/>
              <w:ind w:left="0"/>
              <w:rPr>
                <w:rFonts w:ascii="Times New Roman"/>
                <w:sz w:val="22"/>
              </w:rPr>
            </w:pPr>
          </w:p>
        </w:tc>
        <w:tc>
          <w:tcPr>
            <w:tcW w:w="4820" w:type="dxa"/>
          </w:tcPr>
          <w:p>
            <w:pPr>
              <w:pStyle w:val="TableParagraph"/>
              <w:tabs>
                <w:tab w:pos="3134" w:val="left" w:leader="none"/>
              </w:tabs>
              <w:spacing w:before="1"/>
              <w:ind w:left="103" w:right="140"/>
              <w:rPr>
                <w:i/>
                <w:sz w:val="22"/>
              </w:rPr>
            </w:pPr>
            <w:r>
              <w:rPr>
                <w:i/>
                <w:color w:val="C0504D"/>
                <w:sz w:val="22"/>
              </w:rPr>
              <w:t>support</w:t>
            </w:r>
            <w:r>
              <w:rPr>
                <w:i/>
                <w:color w:val="C0504D"/>
                <w:spacing w:val="-4"/>
                <w:sz w:val="22"/>
              </w:rPr>
              <w:t> </w:t>
            </w:r>
            <w:r>
              <w:rPr>
                <w:i/>
                <w:color w:val="C0504D"/>
                <w:sz w:val="22"/>
              </w:rPr>
              <w:t>of</w:t>
            </w:r>
            <w:r>
              <w:rPr>
                <w:i/>
                <w:color w:val="C0504D"/>
                <w:spacing w:val="-5"/>
                <w:sz w:val="22"/>
              </w:rPr>
              <w:t> </w:t>
            </w:r>
            <w:r>
              <w:rPr>
                <w:i/>
                <w:color w:val="C0504D"/>
                <w:sz w:val="22"/>
              </w:rPr>
              <w:t>assertions,</w:t>
            </w:r>
            <w:r>
              <w:rPr>
                <w:i/>
                <w:color w:val="C0504D"/>
                <w:spacing w:val="-7"/>
                <w:sz w:val="22"/>
              </w:rPr>
              <w:t> </w:t>
            </w:r>
            <w:r>
              <w:rPr>
                <w:i/>
                <w:color w:val="C0504D"/>
                <w:sz w:val="22"/>
              </w:rPr>
              <w:t>even</w:t>
            </w:r>
            <w:r>
              <w:rPr>
                <w:i/>
                <w:color w:val="C0504D"/>
                <w:spacing w:val="-8"/>
                <w:sz w:val="22"/>
              </w:rPr>
              <w:t> </w:t>
            </w:r>
            <w:r>
              <w:rPr>
                <w:i/>
                <w:color w:val="C0504D"/>
                <w:sz w:val="22"/>
              </w:rPr>
              <w:t>when</w:t>
            </w:r>
            <w:r>
              <w:rPr>
                <w:i/>
                <w:color w:val="C0504D"/>
                <w:spacing w:val="-6"/>
                <w:sz w:val="22"/>
              </w:rPr>
              <w:t> </w:t>
            </w:r>
            <w:r>
              <w:rPr>
                <w:i/>
                <w:color w:val="C0504D"/>
                <w:sz w:val="22"/>
              </w:rPr>
              <w:t>explicitly</w:t>
            </w:r>
            <w:r>
              <w:rPr>
                <w:i/>
                <w:color w:val="C0504D"/>
                <w:spacing w:val="-8"/>
                <w:sz w:val="22"/>
              </w:rPr>
              <w:t> </w:t>
            </w:r>
            <w:r>
              <w:rPr>
                <w:i/>
                <w:color w:val="C0504D"/>
                <w:sz w:val="22"/>
              </w:rPr>
              <w:t>required</w:t>
            </w:r>
            <w:r>
              <w:rPr>
                <w:i/>
                <w:color w:val="C0504D"/>
                <w:sz w:val="22"/>
              </w:rPr>
              <w:t> by the question; failure to focus on the question posed; some</w:t>
            </w:r>
            <w:r>
              <w:rPr>
                <w:i/>
                <w:color w:val="C0504D"/>
                <w:spacing w:val="-3"/>
                <w:sz w:val="22"/>
              </w:rPr>
              <w:t> </w:t>
            </w:r>
            <w:r>
              <w:rPr>
                <w:i/>
                <w:color w:val="C0504D"/>
                <w:sz w:val="22"/>
              </w:rPr>
              <w:t>students</w:t>
            </w:r>
            <w:r>
              <w:rPr>
                <w:i/>
                <w:color w:val="C0504D"/>
                <w:spacing w:val="-3"/>
                <w:sz w:val="22"/>
              </w:rPr>
              <w:t> </w:t>
            </w:r>
            <w:r>
              <w:rPr>
                <w:i/>
                <w:color w:val="C0504D"/>
                <w:sz w:val="22"/>
              </w:rPr>
              <w:t>provided</w:t>
            </w:r>
            <w:r>
              <w:rPr>
                <w:i/>
                <w:color w:val="C0504D"/>
                <w:spacing w:val="-2"/>
                <w:sz w:val="22"/>
              </w:rPr>
              <w:t> </w:t>
            </w:r>
            <w:r>
              <w:rPr>
                <w:i/>
                <w:color w:val="C0504D"/>
                <w:sz w:val="22"/>
              </w:rPr>
              <w:t>vague</w:t>
            </w:r>
            <w:r>
              <w:rPr>
                <w:i/>
                <w:color w:val="C0504D"/>
                <w:spacing w:val="-1"/>
                <w:sz w:val="22"/>
              </w:rPr>
              <w:t> </w:t>
            </w:r>
            <w:r>
              <w:rPr>
                <w:i/>
                <w:color w:val="C0504D"/>
                <w:sz w:val="22"/>
              </w:rPr>
              <w:t>narratives of environmental history, rather than explaining the methods used to analyse data;</w:t>
              <w:tab/>
              <w:t>Failure to structure essay answers effectively.</w:t>
            </w:r>
          </w:p>
          <w:p>
            <w:pPr>
              <w:pStyle w:val="TableParagraph"/>
              <w:ind w:right="141"/>
              <w:rPr>
                <w:i/>
                <w:sz w:val="22"/>
              </w:rPr>
            </w:pPr>
            <w:r>
              <w:rPr>
                <w:i/>
                <w:color w:val="C0504D"/>
                <w:sz w:val="22"/>
              </w:rPr>
              <w:t>Several</w:t>
            </w:r>
            <w:r>
              <w:rPr>
                <w:i/>
                <w:color w:val="C0504D"/>
                <w:spacing w:val="-6"/>
                <w:sz w:val="22"/>
              </w:rPr>
              <w:t> </w:t>
            </w:r>
            <w:r>
              <w:rPr>
                <w:i/>
                <w:color w:val="C0504D"/>
                <w:sz w:val="22"/>
              </w:rPr>
              <w:t>first</w:t>
            </w:r>
            <w:r>
              <w:rPr>
                <w:i/>
                <w:color w:val="C0504D"/>
                <w:spacing w:val="-5"/>
                <w:sz w:val="22"/>
              </w:rPr>
              <w:t> </w:t>
            </w:r>
            <w:r>
              <w:rPr>
                <w:i/>
                <w:color w:val="C0504D"/>
                <w:sz w:val="22"/>
              </w:rPr>
              <w:t>class</w:t>
            </w:r>
            <w:r>
              <w:rPr>
                <w:i/>
                <w:color w:val="C0504D"/>
                <w:spacing w:val="-5"/>
                <w:sz w:val="22"/>
              </w:rPr>
              <w:t> </w:t>
            </w:r>
            <w:r>
              <w:rPr>
                <w:i/>
                <w:color w:val="C0504D"/>
                <w:sz w:val="22"/>
              </w:rPr>
              <w:t>answers</w:t>
            </w:r>
            <w:r>
              <w:rPr>
                <w:i/>
                <w:color w:val="C0504D"/>
                <w:spacing w:val="-5"/>
                <w:sz w:val="22"/>
              </w:rPr>
              <w:t> </w:t>
            </w:r>
            <w:r>
              <w:rPr>
                <w:i/>
                <w:color w:val="C0504D"/>
                <w:sz w:val="22"/>
              </w:rPr>
              <w:t>show</w:t>
            </w:r>
            <w:r>
              <w:rPr>
                <w:i/>
                <w:color w:val="C0504D"/>
                <w:spacing w:val="-5"/>
                <w:sz w:val="22"/>
              </w:rPr>
              <w:t> </w:t>
            </w:r>
            <w:r>
              <w:rPr>
                <w:i/>
                <w:color w:val="C0504D"/>
                <w:sz w:val="22"/>
              </w:rPr>
              <w:t>that</w:t>
            </w:r>
            <w:r>
              <w:rPr>
                <w:i/>
                <w:color w:val="C0504D"/>
                <w:spacing w:val="-5"/>
                <w:sz w:val="22"/>
              </w:rPr>
              <w:t> </w:t>
            </w:r>
            <w:r>
              <w:rPr>
                <w:i/>
                <w:color w:val="C0504D"/>
                <w:sz w:val="22"/>
              </w:rPr>
              <w:t>the</w:t>
            </w:r>
            <w:r>
              <w:rPr>
                <w:i/>
                <w:color w:val="C0504D"/>
                <w:spacing w:val="-6"/>
                <w:sz w:val="22"/>
              </w:rPr>
              <w:t> </w:t>
            </w:r>
            <w:r>
              <w:rPr>
                <w:i/>
                <w:color w:val="C0504D"/>
                <w:sz w:val="22"/>
              </w:rPr>
              <w:t>module</w:t>
            </w:r>
            <w:r>
              <w:rPr>
                <w:i/>
                <w:color w:val="C0504D"/>
                <w:spacing w:val="-6"/>
                <w:sz w:val="22"/>
              </w:rPr>
              <w:t> </w:t>
            </w:r>
            <w:r>
              <w:rPr>
                <w:i/>
                <w:color w:val="C0504D"/>
                <w:sz w:val="22"/>
              </w:rPr>
              <w:t>is</w:t>
            </w:r>
            <w:r>
              <w:rPr>
                <w:i/>
                <w:color w:val="C0504D"/>
                <w:sz w:val="22"/>
              </w:rPr>
              <w:t> effective when students make the effort to learn the material delivered in the lectures. Students need to be reminded that learning information is only the first step towards the analytical, critical approach that is required in their exam and</w:t>
            </w:r>
          </w:p>
          <w:p>
            <w:pPr>
              <w:pStyle w:val="TableParagraph"/>
              <w:spacing w:line="248" w:lineRule="exact"/>
              <w:rPr>
                <w:i/>
                <w:sz w:val="22"/>
              </w:rPr>
            </w:pPr>
            <w:r>
              <w:rPr>
                <w:i/>
                <w:color w:val="C0504D"/>
                <w:sz w:val="22"/>
              </w:rPr>
              <w:t>coursework</w:t>
            </w:r>
            <w:r>
              <w:rPr>
                <w:i/>
                <w:color w:val="C0504D"/>
                <w:spacing w:val="-4"/>
                <w:sz w:val="22"/>
              </w:rPr>
              <w:t> </w:t>
            </w:r>
            <w:r>
              <w:rPr>
                <w:i/>
                <w:color w:val="C0504D"/>
                <w:sz w:val="22"/>
              </w:rPr>
              <w:t>assignments</w:t>
            </w:r>
            <w:r>
              <w:rPr>
                <w:i/>
                <w:color w:val="C0504D"/>
                <w:spacing w:val="-3"/>
                <w:sz w:val="22"/>
              </w:rPr>
              <w:t> </w:t>
            </w:r>
            <w:r>
              <w:rPr>
                <w:i/>
                <w:color w:val="C0504D"/>
                <w:sz w:val="22"/>
              </w:rPr>
              <w:t>at</w:t>
            </w:r>
            <w:r>
              <w:rPr>
                <w:i/>
                <w:color w:val="C0504D"/>
                <w:spacing w:val="-6"/>
                <w:sz w:val="22"/>
              </w:rPr>
              <w:t> </w:t>
            </w:r>
            <w:r>
              <w:rPr>
                <w:i/>
                <w:color w:val="C0504D"/>
                <w:sz w:val="22"/>
              </w:rPr>
              <w:t>Part</w:t>
            </w:r>
            <w:r>
              <w:rPr>
                <w:i/>
                <w:color w:val="C0504D"/>
                <w:spacing w:val="-3"/>
                <w:sz w:val="22"/>
              </w:rPr>
              <w:t> </w:t>
            </w:r>
            <w:r>
              <w:rPr>
                <w:i/>
                <w:color w:val="C0504D"/>
                <w:spacing w:val="-5"/>
                <w:sz w:val="22"/>
              </w:rPr>
              <w:t>2.</w:t>
            </w:r>
          </w:p>
        </w:tc>
      </w:tr>
      <w:tr>
        <w:trPr>
          <w:trHeight w:val="2418" w:hRule="atLeast"/>
        </w:trPr>
        <w:tc>
          <w:tcPr>
            <w:tcW w:w="1277" w:type="dxa"/>
          </w:tcPr>
          <w:p>
            <w:pPr>
              <w:pStyle w:val="TableParagraph"/>
              <w:spacing w:line="268" w:lineRule="exact"/>
              <w:ind w:left="110"/>
              <w:rPr>
                <w:i/>
                <w:sz w:val="22"/>
              </w:rPr>
            </w:pPr>
            <w:r>
              <w:rPr>
                <w:i/>
                <w:color w:val="C0504D"/>
                <w:spacing w:val="-2"/>
                <w:sz w:val="22"/>
              </w:rPr>
              <w:t>XX24520</w:t>
            </w:r>
          </w:p>
        </w:tc>
        <w:tc>
          <w:tcPr>
            <w:tcW w:w="2127" w:type="dxa"/>
          </w:tcPr>
          <w:p>
            <w:pPr>
              <w:pStyle w:val="TableParagraph"/>
              <w:spacing w:line="268" w:lineRule="exact"/>
              <w:ind w:left="107"/>
              <w:rPr>
                <w:i/>
                <w:sz w:val="22"/>
              </w:rPr>
            </w:pPr>
            <w:r>
              <w:rPr>
                <w:i/>
                <w:color w:val="C0504D"/>
                <w:sz w:val="22"/>
              </w:rPr>
              <w:t>Team</w:t>
            </w:r>
            <w:r>
              <w:rPr>
                <w:i/>
                <w:color w:val="C0504D"/>
                <w:spacing w:val="-3"/>
                <w:sz w:val="22"/>
              </w:rPr>
              <w:t> </w:t>
            </w:r>
            <w:r>
              <w:rPr>
                <w:i/>
                <w:color w:val="C0504D"/>
                <w:spacing w:val="-2"/>
                <w:sz w:val="22"/>
              </w:rPr>
              <w:t>Development</w:t>
            </w:r>
          </w:p>
        </w:tc>
        <w:tc>
          <w:tcPr>
            <w:tcW w:w="709" w:type="dxa"/>
          </w:tcPr>
          <w:p>
            <w:pPr>
              <w:pStyle w:val="TableParagraph"/>
              <w:spacing w:before="1"/>
              <w:ind w:left="106"/>
              <w:rPr>
                <w:i/>
                <w:sz w:val="20"/>
              </w:rPr>
            </w:pPr>
            <w:r>
              <w:rPr>
                <w:i/>
                <w:color w:val="C0504D"/>
                <w:spacing w:val="-2"/>
                <w:sz w:val="20"/>
              </w:rPr>
              <w:t>60.89</w:t>
            </w:r>
          </w:p>
        </w:tc>
        <w:tc>
          <w:tcPr>
            <w:tcW w:w="680" w:type="dxa"/>
          </w:tcPr>
          <w:p>
            <w:pPr>
              <w:pStyle w:val="TableParagraph"/>
              <w:spacing w:before="1"/>
              <w:ind w:left="106"/>
              <w:rPr>
                <w:i/>
                <w:sz w:val="20"/>
              </w:rPr>
            </w:pPr>
            <w:r>
              <w:rPr>
                <w:i/>
                <w:color w:val="C0504D"/>
                <w:spacing w:val="-2"/>
                <w:sz w:val="20"/>
              </w:rPr>
              <w:t>10.95</w:t>
            </w:r>
          </w:p>
        </w:tc>
        <w:tc>
          <w:tcPr>
            <w:tcW w:w="740" w:type="dxa"/>
          </w:tcPr>
          <w:p>
            <w:pPr>
              <w:pStyle w:val="TableParagraph"/>
              <w:spacing w:line="268" w:lineRule="exact"/>
              <w:ind w:left="206"/>
              <w:rPr>
                <w:i/>
                <w:sz w:val="22"/>
              </w:rPr>
            </w:pPr>
            <w:r>
              <w:rPr>
                <w:i/>
                <w:color w:val="C0504D"/>
                <w:spacing w:val="-4"/>
                <w:sz w:val="22"/>
              </w:rPr>
              <w:t>9.39</w:t>
            </w:r>
          </w:p>
        </w:tc>
        <w:tc>
          <w:tcPr>
            <w:tcW w:w="4820" w:type="dxa"/>
          </w:tcPr>
          <w:p>
            <w:pPr>
              <w:pStyle w:val="TableParagraph"/>
              <w:ind w:right="121"/>
              <w:rPr>
                <w:i/>
                <w:sz w:val="22"/>
              </w:rPr>
            </w:pPr>
            <w:r>
              <w:rPr>
                <w:i/>
                <w:color w:val="C0504D"/>
                <w:sz w:val="22"/>
              </w:rPr>
              <w:t>The average fell from a 63.79 to a 60.89, while the</w:t>
            </w:r>
            <w:r>
              <w:rPr>
                <w:i/>
                <w:color w:val="C0504D"/>
                <w:sz w:val="22"/>
              </w:rPr>
              <w:t> standard deviation remained roughly equivalent. This module took the place of a long-thin module, and</w:t>
            </w:r>
            <w:r>
              <w:rPr>
                <w:i/>
                <w:color w:val="C0504D"/>
                <w:spacing w:val="-5"/>
                <w:sz w:val="22"/>
              </w:rPr>
              <w:t> </w:t>
            </w:r>
            <w:r>
              <w:rPr>
                <w:i/>
                <w:color w:val="C0504D"/>
                <w:sz w:val="22"/>
              </w:rPr>
              <w:t>the</w:t>
            </w:r>
            <w:r>
              <w:rPr>
                <w:i/>
                <w:color w:val="C0504D"/>
                <w:spacing w:val="-4"/>
                <w:sz w:val="22"/>
              </w:rPr>
              <w:t> </w:t>
            </w:r>
            <w:r>
              <w:rPr>
                <w:i/>
                <w:color w:val="C0504D"/>
                <w:sz w:val="22"/>
              </w:rPr>
              <w:t>latter</w:t>
            </w:r>
            <w:r>
              <w:rPr>
                <w:i/>
                <w:color w:val="C0504D"/>
                <w:spacing w:val="-3"/>
                <w:sz w:val="22"/>
              </w:rPr>
              <w:t> </w:t>
            </w:r>
            <w:r>
              <w:rPr>
                <w:i/>
                <w:color w:val="C0504D"/>
                <w:sz w:val="22"/>
              </w:rPr>
              <w:t>module</w:t>
            </w:r>
            <w:r>
              <w:rPr>
                <w:i/>
                <w:color w:val="C0504D"/>
                <w:spacing w:val="-5"/>
                <w:sz w:val="22"/>
              </w:rPr>
              <w:t> </w:t>
            </w:r>
            <w:r>
              <w:rPr>
                <w:i/>
                <w:color w:val="C0504D"/>
                <w:sz w:val="22"/>
              </w:rPr>
              <w:t>had</w:t>
            </w:r>
            <w:r>
              <w:rPr>
                <w:i/>
                <w:color w:val="C0504D"/>
                <w:spacing w:val="-6"/>
                <w:sz w:val="22"/>
              </w:rPr>
              <w:t> </w:t>
            </w:r>
            <w:r>
              <w:rPr>
                <w:i/>
                <w:color w:val="C0504D"/>
                <w:sz w:val="22"/>
              </w:rPr>
              <w:t>averages</w:t>
            </w:r>
            <w:r>
              <w:rPr>
                <w:i/>
                <w:color w:val="C0504D"/>
                <w:spacing w:val="-3"/>
                <w:sz w:val="22"/>
              </w:rPr>
              <w:t> </w:t>
            </w:r>
            <w:r>
              <w:rPr>
                <w:i/>
                <w:color w:val="C0504D"/>
                <w:sz w:val="22"/>
              </w:rPr>
              <w:t>in</w:t>
            </w:r>
            <w:r>
              <w:rPr>
                <w:i/>
                <w:color w:val="C0504D"/>
                <w:spacing w:val="-5"/>
                <w:sz w:val="22"/>
              </w:rPr>
              <w:t> </w:t>
            </w:r>
            <w:r>
              <w:rPr>
                <w:i/>
                <w:color w:val="C0504D"/>
                <w:sz w:val="22"/>
              </w:rPr>
              <w:t>line</w:t>
            </w:r>
            <w:r>
              <w:rPr>
                <w:i/>
                <w:color w:val="C0504D"/>
                <w:spacing w:val="-5"/>
                <w:sz w:val="22"/>
              </w:rPr>
              <w:t> </w:t>
            </w:r>
            <w:r>
              <w:rPr>
                <w:i/>
                <w:color w:val="C0504D"/>
                <w:sz w:val="22"/>
              </w:rPr>
              <w:t>with</w:t>
            </w:r>
            <w:r>
              <w:rPr>
                <w:i/>
                <w:color w:val="C0504D"/>
                <w:spacing w:val="-6"/>
                <w:sz w:val="22"/>
              </w:rPr>
              <w:t> </w:t>
            </w:r>
            <w:r>
              <w:rPr>
                <w:i/>
                <w:color w:val="C0504D"/>
                <w:sz w:val="22"/>
              </w:rPr>
              <w:t>the</w:t>
            </w:r>
          </w:p>
          <w:p>
            <w:pPr>
              <w:pStyle w:val="TableParagraph"/>
              <w:rPr>
                <w:i/>
                <w:sz w:val="22"/>
              </w:rPr>
            </w:pPr>
            <w:r>
              <w:rPr>
                <w:i/>
                <w:color w:val="C0504D"/>
                <w:sz w:val="22"/>
              </w:rPr>
              <w:t>60.89 from this year's module. Taking into account</w:t>
            </w:r>
            <w:r>
              <w:rPr>
                <w:i/>
                <w:color w:val="C0504D"/>
                <w:sz w:val="22"/>
              </w:rPr>
              <w:t> the longer-term trends not included on the mark comparison</w:t>
            </w:r>
            <w:r>
              <w:rPr>
                <w:i/>
                <w:color w:val="C0504D"/>
                <w:spacing w:val="-6"/>
                <w:sz w:val="22"/>
              </w:rPr>
              <w:t> </w:t>
            </w:r>
            <w:r>
              <w:rPr>
                <w:i/>
                <w:color w:val="C0504D"/>
                <w:sz w:val="22"/>
              </w:rPr>
              <w:t>sheet,</w:t>
            </w:r>
            <w:r>
              <w:rPr>
                <w:i/>
                <w:color w:val="C0504D"/>
                <w:spacing w:val="-7"/>
                <w:sz w:val="22"/>
              </w:rPr>
              <w:t> </w:t>
            </w:r>
            <w:r>
              <w:rPr>
                <w:i/>
                <w:color w:val="C0504D"/>
                <w:sz w:val="22"/>
              </w:rPr>
              <w:t>this</w:t>
            </w:r>
            <w:r>
              <w:rPr>
                <w:i/>
                <w:color w:val="C0504D"/>
                <w:spacing w:val="-5"/>
                <w:sz w:val="22"/>
              </w:rPr>
              <w:t> </w:t>
            </w:r>
            <w:r>
              <w:rPr>
                <w:i/>
                <w:color w:val="C0504D"/>
                <w:sz w:val="22"/>
              </w:rPr>
              <w:t>year's</w:t>
            </w:r>
            <w:r>
              <w:rPr>
                <w:i/>
                <w:color w:val="C0504D"/>
                <w:spacing w:val="-5"/>
                <w:sz w:val="22"/>
              </w:rPr>
              <w:t> </w:t>
            </w:r>
            <w:r>
              <w:rPr>
                <w:i/>
                <w:color w:val="C0504D"/>
                <w:sz w:val="22"/>
              </w:rPr>
              <w:t>decline</w:t>
            </w:r>
            <w:r>
              <w:rPr>
                <w:i/>
                <w:color w:val="C0504D"/>
                <w:spacing w:val="-5"/>
                <w:sz w:val="22"/>
              </w:rPr>
              <w:t> </w:t>
            </w:r>
            <w:r>
              <w:rPr>
                <w:i/>
                <w:color w:val="C0504D"/>
                <w:sz w:val="22"/>
              </w:rPr>
              <w:t>in</w:t>
            </w:r>
            <w:r>
              <w:rPr>
                <w:i/>
                <w:color w:val="C0504D"/>
                <w:spacing w:val="-6"/>
                <w:sz w:val="22"/>
              </w:rPr>
              <w:t> </w:t>
            </w:r>
            <w:r>
              <w:rPr>
                <w:i/>
                <w:color w:val="C0504D"/>
                <w:sz w:val="22"/>
              </w:rPr>
              <w:t>the</w:t>
            </w:r>
            <w:r>
              <w:rPr>
                <w:i/>
                <w:color w:val="C0504D"/>
                <w:spacing w:val="-5"/>
                <w:sz w:val="22"/>
              </w:rPr>
              <w:t> </w:t>
            </w:r>
            <w:r>
              <w:rPr>
                <w:i/>
                <w:color w:val="C0504D"/>
                <w:sz w:val="22"/>
              </w:rPr>
              <w:t>average mark reflects a return to the mean from last year's</w:t>
            </w:r>
          </w:p>
          <w:p>
            <w:pPr>
              <w:pStyle w:val="TableParagraph"/>
              <w:spacing w:line="249" w:lineRule="exact" w:before="1"/>
              <w:rPr>
                <w:i/>
                <w:sz w:val="22"/>
              </w:rPr>
            </w:pPr>
            <w:r>
              <w:rPr>
                <w:i/>
                <w:color w:val="C0504D"/>
                <w:sz w:val="22"/>
              </w:rPr>
              <w:t>slight</w:t>
            </w:r>
            <w:r>
              <w:rPr>
                <w:i/>
                <w:color w:val="C0504D"/>
                <w:spacing w:val="-5"/>
                <w:sz w:val="22"/>
              </w:rPr>
              <w:t> </w:t>
            </w:r>
            <w:r>
              <w:rPr>
                <w:i/>
                <w:color w:val="C0504D"/>
                <w:spacing w:val="-2"/>
                <w:sz w:val="22"/>
              </w:rPr>
              <w:t>outlier.</w:t>
            </w:r>
          </w:p>
        </w:tc>
      </w:tr>
    </w:tbl>
    <w:sectPr>
      <w:type w:val="continuous"/>
      <w:pgSz w:w="11910" w:h="16840"/>
      <w:pgMar w:top="1100" w:bottom="280" w:left="10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i/>
      <w:iCs/>
      <w:sz w:val="24"/>
      <w:szCs w:val="24"/>
      <w:lang w:val="en-US" w:eastAsia="en-US" w:bidi="ar-SA"/>
    </w:rPr>
  </w:style>
  <w:style w:styleId="Title" w:type="paragraph">
    <w:name w:val="Title"/>
    <w:basedOn w:val="Normal"/>
    <w:uiPriority w:val="1"/>
    <w:qFormat/>
    <w:pPr>
      <w:spacing w:before="52"/>
      <w:ind w:left="112" w:hanging="425"/>
    </w:pPr>
    <w:rPr>
      <w:rFonts w:ascii="Calibri" w:hAnsi="Calibri" w:eastAsia="Calibri" w:cs="Calibri"/>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4"/>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Aberystwyth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dcterms:created xsi:type="dcterms:W3CDTF">2023-01-12T17:27:11Z</dcterms:created>
  <dcterms:modified xsi:type="dcterms:W3CDTF">2023-01-12T17:27:11Z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Acrobat PDFMaker 15 for Word</vt:lpwstr>
  </property>
  <property fmtid="{D5CDD505-2E9C-101B-9397-08002B2CF9AE}" pid="4" name="LastSaved">
    <vt:filetime>2023-01-12T00:00:00Z</vt:filetime>
  </property>
  <property fmtid="{D5CDD505-2E9C-101B-9397-08002B2CF9AE}" pid="5" name="Producer">
    <vt:lpwstr>Adobe PDF Library 15.0</vt:lpwstr>
  </property>
  <property fmtid="{D5CDD505-2E9C-101B-9397-08002B2CF9AE}" pid="6" name="SourceModified">
    <vt:lpwstr>D:20190402094500</vt:lpwstr>
  </property>
</Properties>
</file>