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F2" w:rsidRPr="00D3368B" w:rsidRDefault="00367A81" w:rsidP="00A57626">
      <w:pPr>
        <w:pStyle w:val="Teitl"/>
        <w:rPr>
          <w:lang w:val="cy-GB"/>
        </w:rPr>
      </w:pPr>
      <w:r w:rsidRPr="00D3368B">
        <w:rPr>
          <w:lang w:val="cy-GB"/>
        </w:rPr>
        <w:t xml:space="preserve">Sut mae gwneud fy modiwl </w:t>
      </w:r>
      <w:proofErr w:type="spellStart"/>
      <w:r w:rsidRPr="00D3368B">
        <w:rPr>
          <w:lang w:val="cy-GB"/>
        </w:rPr>
        <w:t>Blackboard</w:t>
      </w:r>
      <w:proofErr w:type="spellEnd"/>
      <w:r w:rsidRPr="00D3368B">
        <w:rPr>
          <w:lang w:val="cy-GB"/>
        </w:rPr>
        <w:t xml:space="preserve"> yn hygyrch</w:t>
      </w:r>
      <w:r w:rsidR="00A57626" w:rsidRPr="00D3368B">
        <w:rPr>
          <w:lang w:val="cy-GB"/>
        </w:rPr>
        <w:t xml:space="preserve"> (staff)?</w:t>
      </w:r>
      <w:r w:rsidR="00B02E69">
        <w:rPr>
          <w:lang w:val="cy-GB"/>
        </w:rPr>
        <w:t xml:space="preserve"> </w:t>
      </w:r>
    </w:p>
    <w:p w:rsidR="00A57626" w:rsidRPr="00D3368B" w:rsidRDefault="00A57626" w:rsidP="00A57626">
      <w:pPr>
        <w:rPr>
          <w:lang w:val="cy-GB"/>
        </w:rPr>
      </w:pPr>
    </w:p>
    <w:p w:rsidR="00A57626" w:rsidRPr="00D3368B" w:rsidRDefault="003F3158" w:rsidP="00A57626">
      <w:pPr>
        <w:rPr>
          <w:lang w:val="cy-GB"/>
        </w:rPr>
      </w:pPr>
      <w:r w:rsidRPr="00D3368B">
        <w:rPr>
          <w:lang w:val="cy-GB"/>
        </w:rPr>
        <w:t xml:space="preserve">Cymhwysiad gwe yw </w:t>
      </w:r>
      <w:r w:rsidR="00A57626" w:rsidRPr="00D3368B">
        <w:rPr>
          <w:lang w:val="cy-GB"/>
        </w:rPr>
        <w:t xml:space="preserve">Blackboard </w:t>
      </w:r>
      <w:r w:rsidRPr="00D3368B">
        <w:rPr>
          <w:lang w:val="cy-GB"/>
        </w:rPr>
        <w:t>ac mae’n rhaid cael porwr gwe er mwyn ei ddefnyddio. Fe’i rhagosodwyd i fod yn</w:t>
      </w:r>
      <w:r w:rsidR="00A57626" w:rsidRPr="00D3368B">
        <w:rPr>
          <w:lang w:val="cy-GB"/>
        </w:rPr>
        <w:t xml:space="preserve"> </w:t>
      </w:r>
      <w:hyperlink r:id="rId5" w:tgtFrame="_blank" w:history="1">
        <w:r w:rsidRPr="00D3368B">
          <w:rPr>
            <w:rStyle w:val="Hyperddolen"/>
            <w:lang w:val="cy-GB"/>
          </w:rPr>
          <w:t>hygyrch</w:t>
        </w:r>
      </w:hyperlink>
      <w:r w:rsidR="00A57626" w:rsidRPr="00D3368B">
        <w:rPr>
          <w:lang w:val="cy-GB"/>
        </w:rPr>
        <w:t>. </w:t>
      </w:r>
    </w:p>
    <w:p w:rsidR="00A57626" w:rsidRPr="00D3368B" w:rsidRDefault="00367A81" w:rsidP="00A57626">
      <w:pPr>
        <w:rPr>
          <w:lang w:val="cy-GB"/>
        </w:rPr>
      </w:pPr>
      <w:r w:rsidRPr="00D3368B">
        <w:rPr>
          <w:lang w:val="cy-GB"/>
        </w:rPr>
        <w:t>Trwy wneud eich cynnwys ar Blackboard yn hygy</w:t>
      </w:r>
      <w:r w:rsidR="00D3368B">
        <w:rPr>
          <w:lang w:val="cy-GB"/>
        </w:rPr>
        <w:t>r</w:t>
      </w:r>
      <w:r w:rsidRPr="00D3368B">
        <w:rPr>
          <w:lang w:val="cy-GB"/>
        </w:rPr>
        <w:t xml:space="preserve">ch wrth ei greu, bydd yn haws i bob dysgwr ei ddefnyddio. Ar </w:t>
      </w:r>
      <w:r w:rsidRPr="00D3368B">
        <w:rPr>
          <w:rFonts w:cstheme="minorHAnsi"/>
          <w:lang w:val="cy-GB"/>
        </w:rPr>
        <w:t>ô</w:t>
      </w:r>
      <w:r w:rsidR="008A5E95" w:rsidRPr="00D3368B">
        <w:rPr>
          <w:lang w:val="cy-GB"/>
        </w:rPr>
        <w:t>l i</w:t>
      </w:r>
      <w:r w:rsidR="00A57626" w:rsidRPr="00D3368B">
        <w:rPr>
          <w:lang w:val="cy-GB"/>
        </w:rPr>
        <w:t xml:space="preserve"> </w:t>
      </w:r>
      <w:hyperlink r:id="rId6" w:tgtFrame="_blank" w:history="1">
        <w:r w:rsidR="008A5E95" w:rsidRPr="00D3368B">
          <w:rPr>
            <w:rStyle w:val="Hyperddolen"/>
            <w:lang w:val="cy-GB"/>
          </w:rPr>
          <w:t>Ddeddfwriaeth</w:t>
        </w:r>
      </w:hyperlink>
      <w:r w:rsidR="008A5E95" w:rsidRPr="00D3368B">
        <w:rPr>
          <w:rStyle w:val="Hyperddolen"/>
          <w:lang w:val="cy-GB"/>
        </w:rPr>
        <w:t xml:space="preserve"> Hygyrchedd 2018</w:t>
      </w:r>
      <w:r w:rsidR="00A57626" w:rsidRPr="00D3368B">
        <w:rPr>
          <w:lang w:val="cy-GB"/>
        </w:rPr>
        <w:t xml:space="preserve"> </w:t>
      </w:r>
      <w:r w:rsidR="008A5E95" w:rsidRPr="00D3368B">
        <w:rPr>
          <w:lang w:val="cy-GB"/>
        </w:rPr>
        <w:t>gael ei chyflwyno, dylai aelodau’r staff ddilyn y canllawiau isod er mwyn gwneud eu cynnwys yn hygyrch.</w:t>
      </w:r>
    </w:p>
    <w:p w:rsidR="00A57626" w:rsidRPr="00D3368B" w:rsidRDefault="003F3158" w:rsidP="00A57626">
      <w:pPr>
        <w:pStyle w:val="Pennawd1"/>
        <w:rPr>
          <w:lang w:val="cy-GB"/>
        </w:rPr>
      </w:pPr>
      <w:r w:rsidRPr="00D3368B">
        <w:rPr>
          <w:lang w:val="cy-GB"/>
        </w:rPr>
        <w:t>Creu Cynnwys gan ddefnyddio Golygydd Cynnwys Blackboard</w:t>
      </w:r>
    </w:p>
    <w:p w:rsidR="00A57626" w:rsidRPr="00D3368B" w:rsidRDefault="003F3158" w:rsidP="00A57626">
      <w:pPr>
        <w:rPr>
          <w:lang w:val="cy-GB"/>
        </w:rPr>
      </w:pPr>
      <w:r w:rsidRPr="00D3368B">
        <w:rPr>
          <w:lang w:val="cy-GB"/>
        </w:rPr>
        <w:t>Argymhellwn ddefnyddio Golygydd Cynnwys Blackboard lle bo’n bosibl</w:t>
      </w:r>
      <w:r w:rsidR="00A57626" w:rsidRPr="00D3368B">
        <w:rPr>
          <w:lang w:val="cy-GB"/>
        </w:rPr>
        <w:t>:</w:t>
      </w:r>
    </w:p>
    <w:p w:rsidR="00A57626" w:rsidRPr="00D3368B" w:rsidRDefault="00A57626" w:rsidP="00A57626">
      <w:pPr>
        <w:rPr>
          <w:lang w:val="cy-GB"/>
        </w:rPr>
      </w:pPr>
      <w:r w:rsidRPr="00D3368B">
        <w:rPr>
          <w:noProof/>
          <w:lang w:val="cy-GB" w:eastAsia="en-GB"/>
        </w:rPr>
        <w:drawing>
          <wp:inline distT="0" distB="0" distL="0" distR="0">
            <wp:extent cx="6038850" cy="1762125"/>
            <wp:effectExtent l="0" t="0" r="0" b="9525"/>
            <wp:docPr id="1" name="Picture 1" descr="Screen grab of content editor in Blackboard. Includes Paragraph and Heading 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w\AppData\Local\Microsoft\Windows\INetCache\Content.MSO\678A824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87" w:rsidRPr="00D3368B" w:rsidRDefault="00563587" w:rsidP="00A57626">
      <w:pPr>
        <w:rPr>
          <w:lang w:val="cy-GB"/>
        </w:rPr>
      </w:pPr>
    </w:p>
    <w:p w:rsidR="00A57626" w:rsidRPr="00D3368B" w:rsidRDefault="005C7798" w:rsidP="00A57626">
      <w:pPr>
        <w:rPr>
          <w:lang w:val="cy-GB"/>
        </w:rPr>
      </w:pPr>
      <w:r w:rsidRPr="00D3368B">
        <w:rPr>
          <w:lang w:val="cy-GB"/>
        </w:rPr>
        <w:t>Mae’r tabl isod yn dangos arfer gorau ar gyfer datblygu cynnwys y we yn Blackboard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7A3EB0" w:rsidRPr="00D3368B" w:rsidTr="00166A13">
        <w:tc>
          <w:tcPr>
            <w:tcW w:w="2263" w:type="dxa"/>
            <w:vAlign w:val="center"/>
          </w:tcPr>
          <w:p w:rsidR="007A3EB0" w:rsidRPr="00D3368B" w:rsidRDefault="008A5E95" w:rsidP="00166A13">
            <w:pPr>
              <w:pStyle w:val="Pennawd2"/>
              <w:jc w:val="center"/>
              <w:outlineLvl w:val="1"/>
              <w:rPr>
                <w:lang w:val="cy-GB"/>
              </w:rPr>
            </w:pPr>
            <w:r w:rsidRPr="00D3368B">
              <w:rPr>
                <w:lang w:val="cy-GB"/>
              </w:rPr>
              <w:t xml:space="preserve">Defnyddio </w:t>
            </w:r>
          </w:p>
        </w:tc>
        <w:tc>
          <w:tcPr>
            <w:tcW w:w="3402" w:type="dxa"/>
            <w:vAlign w:val="center"/>
          </w:tcPr>
          <w:p w:rsidR="007A3EB0" w:rsidRPr="00D3368B" w:rsidRDefault="008A5E95" w:rsidP="00166A13">
            <w:pPr>
              <w:pStyle w:val="Pennawd2"/>
              <w:jc w:val="center"/>
              <w:outlineLvl w:val="1"/>
              <w:rPr>
                <w:lang w:val="cy-GB"/>
              </w:rPr>
            </w:pPr>
            <w:r w:rsidRPr="00D3368B">
              <w:rPr>
                <w:lang w:val="cy-GB"/>
              </w:rPr>
              <w:t>Beth dylwn ei wneud</w:t>
            </w:r>
            <w:r w:rsidR="007A3EB0" w:rsidRPr="00D3368B">
              <w:rPr>
                <w:lang w:val="cy-GB"/>
              </w:rPr>
              <w:t>?</w:t>
            </w:r>
          </w:p>
        </w:tc>
        <w:tc>
          <w:tcPr>
            <w:tcW w:w="3351" w:type="dxa"/>
            <w:vAlign w:val="center"/>
          </w:tcPr>
          <w:p w:rsidR="007A3EB0" w:rsidRPr="00D3368B" w:rsidRDefault="005C7798" w:rsidP="00166A13">
            <w:pPr>
              <w:pStyle w:val="Pennawd2"/>
              <w:jc w:val="center"/>
              <w:outlineLvl w:val="1"/>
              <w:rPr>
                <w:lang w:val="cy-GB"/>
              </w:rPr>
            </w:pPr>
            <w:r w:rsidRPr="00D3368B">
              <w:rPr>
                <w:lang w:val="cy-GB"/>
              </w:rPr>
              <w:t>Pam</w:t>
            </w:r>
            <w:r w:rsidR="007A3EB0" w:rsidRPr="00D3368B">
              <w:rPr>
                <w:lang w:val="cy-GB"/>
              </w:rPr>
              <w:t>?</w:t>
            </w:r>
          </w:p>
        </w:tc>
      </w:tr>
      <w:tr w:rsidR="007A3EB0" w:rsidRPr="00D3368B" w:rsidTr="00166A13">
        <w:tc>
          <w:tcPr>
            <w:tcW w:w="2263" w:type="dxa"/>
            <w:vMerge w:val="restart"/>
            <w:vAlign w:val="center"/>
          </w:tcPr>
          <w:p w:rsidR="007A3EB0" w:rsidRPr="00D3368B" w:rsidRDefault="005C7798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Testun</w:t>
            </w:r>
          </w:p>
        </w:tc>
        <w:tc>
          <w:tcPr>
            <w:tcW w:w="3402" w:type="dxa"/>
            <w:vAlign w:val="center"/>
          </w:tcPr>
          <w:p w:rsidR="007A3EB0" w:rsidRPr="00D3368B" w:rsidRDefault="008A5E95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Osgowch flociau mawr o eiriau mewn italig.</w:t>
            </w:r>
          </w:p>
        </w:tc>
        <w:tc>
          <w:tcPr>
            <w:tcW w:w="3351" w:type="dxa"/>
            <w:vAlign w:val="center"/>
          </w:tcPr>
          <w:p w:rsidR="007A3EB0" w:rsidRPr="00D3368B" w:rsidRDefault="008A5E95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Gall ymddangos yn ‘sigledig’ i rai unigolion ac felly yn anodd i’w ddarllen.</w:t>
            </w:r>
          </w:p>
        </w:tc>
      </w:tr>
      <w:tr w:rsidR="007A3EB0" w:rsidRPr="00D3368B" w:rsidTr="00166A13">
        <w:tc>
          <w:tcPr>
            <w:tcW w:w="2263" w:type="dxa"/>
            <w:vMerge/>
            <w:vAlign w:val="center"/>
          </w:tcPr>
          <w:p w:rsidR="007A3EB0" w:rsidRPr="00D3368B" w:rsidRDefault="007A3EB0" w:rsidP="00166A13">
            <w:pPr>
              <w:jc w:val="center"/>
              <w:rPr>
                <w:lang w:val="cy-GB"/>
              </w:rPr>
            </w:pPr>
          </w:p>
        </w:tc>
        <w:tc>
          <w:tcPr>
            <w:tcW w:w="3402" w:type="dxa"/>
            <w:vAlign w:val="center"/>
          </w:tcPr>
          <w:p w:rsidR="007A3EB0" w:rsidRPr="00D3368B" w:rsidRDefault="005227FE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Gall ymddangos yn ‘sigledig’ i rai unigolion ac felly yn anodd i’w ddarllen.</w:t>
            </w:r>
          </w:p>
        </w:tc>
        <w:tc>
          <w:tcPr>
            <w:tcW w:w="3351" w:type="dxa"/>
            <w:vAlign w:val="center"/>
          </w:tcPr>
          <w:p w:rsidR="007A3EB0" w:rsidRPr="00D3368B" w:rsidRDefault="005227FE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Bydd y defnyddwyr yn gallu newid maint y ffont yn y porwr.</w:t>
            </w:r>
          </w:p>
        </w:tc>
      </w:tr>
      <w:tr w:rsidR="007A3EB0" w:rsidRPr="00D3368B" w:rsidTr="00166A13">
        <w:tc>
          <w:tcPr>
            <w:tcW w:w="2263" w:type="dxa"/>
            <w:vMerge/>
            <w:vAlign w:val="center"/>
          </w:tcPr>
          <w:p w:rsidR="007A3EB0" w:rsidRPr="00D3368B" w:rsidRDefault="007A3EB0" w:rsidP="00166A13">
            <w:pPr>
              <w:jc w:val="center"/>
              <w:rPr>
                <w:lang w:val="cy-GB"/>
              </w:rPr>
            </w:pPr>
          </w:p>
        </w:tc>
        <w:tc>
          <w:tcPr>
            <w:tcW w:w="3402" w:type="dxa"/>
            <w:vAlign w:val="center"/>
          </w:tcPr>
          <w:p w:rsidR="007A3EB0" w:rsidRPr="00D3368B" w:rsidRDefault="005227FE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Osgowch destun sy’n symud, yn fflachio ac yn ei adfywio ei hun.</w:t>
            </w:r>
          </w:p>
        </w:tc>
        <w:tc>
          <w:tcPr>
            <w:tcW w:w="3351" w:type="dxa"/>
            <w:vAlign w:val="center"/>
          </w:tcPr>
          <w:p w:rsidR="007A3EB0" w:rsidRPr="00D3368B" w:rsidRDefault="006E140A" w:rsidP="006E140A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 xml:space="preserve">Mae defnyddwyr </w:t>
            </w:r>
            <w:r w:rsidRPr="00D3368B">
              <w:rPr>
                <w:rFonts w:cstheme="minorHAns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golwg gwan yn ei chael hi’n anodd ymdopi </w:t>
            </w:r>
            <w:r w:rsidRPr="00D3368B">
              <w:rPr>
                <w:rFonts w:ascii="Calibri" w:hAnsi="Calibri" w:cs="Calibri"/>
                <w:lang w:val="cy-GB"/>
              </w:rPr>
              <w:t>â</w:t>
            </w:r>
            <w:r w:rsidRPr="00D3368B">
              <w:rPr>
                <w:lang w:val="cy-GB"/>
              </w:rPr>
              <w:t xml:space="preserve">’r rhain. Gall sgriniau sy’n fflachio beri ymosodiad epileptig. Gall myfyrwyr </w:t>
            </w:r>
            <w:r w:rsidRPr="00D3368B">
              <w:rPr>
                <w:rFonts w:cstheme="minorHAns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dyslecsia, golwg gwan a defnyddwyr darllenwyr sgr</w:t>
            </w:r>
            <w:r w:rsidRPr="00D3368B">
              <w:rPr>
                <w:rFonts w:ascii="Calibri" w:hAnsi="Calibri" w:cs="Calibri"/>
                <w:lang w:val="cy-GB"/>
              </w:rPr>
              <w:t>î</w:t>
            </w:r>
            <w:r w:rsidRPr="00D3368B">
              <w:rPr>
                <w:lang w:val="cy-GB"/>
              </w:rPr>
              <w:t>n ei chael hi’n anodd i ddarllen y rhain.</w:t>
            </w:r>
            <w:r w:rsidR="007A3EB0" w:rsidRPr="00D3368B">
              <w:rPr>
                <w:lang w:val="cy-GB"/>
              </w:rPr>
              <w:t xml:space="preserve"> </w:t>
            </w:r>
          </w:p>
        </w:tc>
      </w:tr>
      <w:tr w:rsidR="007A3EB0" w:rsidRPr="00D3368B" w:rsidTr="00166A13">
        <w:tc>
          <w:tcPr>
            <w:tcW w:w="2263" w:type="dxa"/>
            <w:vMerge/>
            <w:vAlign w:val="center"/>
          </w:tcPr>
          <w:p w:rsidR="007A3EB0" w:rsidRPr="00D3368B" w:rsidRDefault="007A3EB0" w:rsidP="00166A13">
            <w:pPr>
              <w:jc w:val="center"/>
              <w:rPr>
                <w:lang w:val="cy-GB"/>
              </w:rPr>
            </w:pPr>
          </w:p>
        </w:tc>
        <w:tc>
          <w:tcPr>
            <w:tcW w:w="3402" w:type="dxa"/>
            <w:vAlign w:val="center"/>
          </w:tcPr>
          <w:p w:rsidR="007A3EB0" w:rsidRPr="00D3368B" w:rsidRDefault="006E140A" w:rsidP="00967347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Osgowch ddefnyddio blociau mawr o briflythrenn</w:t>
            </w:r>
            <w:r w:rsidR="00D3368B">
              <w:rPr>
                <w:lang w:val="cy-GB"/>
              </w:rPr>
              <w:t>a</w:t>
            </w:r>
            <w:r w:rsidRPr="00D3368B">
              <w:rPr>
                <w:lang w:val="cy-GB"/>
              </w:rPr>
              <w:t>u.</w:t>
            </w:r>
            <w:r w:rsidR="00967347" w:rsidRPr="00D3368B">
              <w:rPr>
                <w:lang w:val="cy-GB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:rsidR="007A3EB0" w:rsidRPr="00D3368B" w:rsidRDefault="006E140A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Mae rhai defnyddwyr yn ei chael hi’n anodd ei ddarllen.</w:t>
            </w:r>
          </w:p>
        </w:tc>
      </w:tr>
      <w:tr w:rsidR="00166A13" w:rsidRPr="00D3368B" w:rsidTr="00166A13">
        <w:tc>
          <w:tcPr>
            <w:tcW w:w="2263" w:type="dxa"/>
            <w:vMerge w:val="restart"/>
            <w:vAlign w:val="center"/>
          </w:tcPr>
          <w:p w:rsidR="00166A13" w:rsidRPr="00D3368B" w:rsidRDefault="005C7798" w:rsidP="00166A13">
            <w:pPr>
              <w:jc w:val="center"/>
              <w:rPr>
                <w:lang w:val="cy-GB"/>
              </w:rPr>
            </w:pPr>
            <w:r w:rsidRPr="00D3368B">
              <w:rPr>
                <w:bCs/>
                <w:lang w:val="cy-GB"/>
              </w:rPr>
              <w:t>Lluniau</w:t>
            </w:r>
          </w:p>
        </w:tc>
        <w:tc>
          <w:tcPr>
            <w:tcW w:w="3402" w:type="dxa"/>
            <w:vAlign w:val="center"/>
          </w:tcPr>
          <w:p w:rsidR="00166A13" w:rsidRPr="00D3368B" w:rsidRDefault="006E140A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Os oes yn rhaid cael llun, mewnosodwch ddisgrifiad geiriol.</w:t>
            </w:r>
          </w:p>
        </w:tc>
        <w:tc>
          <w:tcPr>
            <w:tcW w:w="3351" w:type="dxa"/>
            <w:vAlign w:val="center"/>
          </w:tcPr>
          <w:p w:rsidR="00166A13" w:rsidRPr="00D3368B" w:rsidRDefault="006E140A" w:rsidP="006E140A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 xml:space="preserve">Mae’n bwysig defnyddio lluniau a geiriau, ond gwell fyddai peidio defnyddio lluniau o eiriau. Defnyddiwch eiriau ac iddynt </w:t>
            </w:r>
            <w:r w:rsidRPr="00D3368B">
              <w:rPr>
                <w:lang w:val="cy-GB"/>
              </w:rPr>
              <w:lastRenderedPageBreak/>
              <w:t>arddull benodol yn hytrach na llun sy’n cynnwys geiriau. Bydd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yn codi testun ALT y llun, a dylai’r testun hwn gyfleu’r hyn sy’n bwysig neu bwrpas y llun.</w:t>
            </w:r>
            <w:r w:rsidR="00166A13" w:rsidRPr="00D3368B">
              <w:rPr>
                <w:lang w:val="cy-GB"/>
              </w:rPr>
              <w:t xml:space="preserve"> </w:t>
            </w:r>
          </w:p>
        </w:tc>
      </w:tr>
      <w:tr w:rsidR="00166A13" w:rsidRPr="00D3368B" w:rsidTr="00166A13">
        <w:tc>
          <w:tcPr>
            <w:tcW w:w="2263" w:type="dxa"/>
            <w:vMerge/>
            <w:vAlign w:val="center"/>
          </w:tcPr>
          <w:p w:rsidR="00166A13" w:rsidRPr="00D3368B" w:rsidRDefault="00166A13" w:rsidP="00166A13">
            <w:pPr>
              <w:jc w:val="center"/>
              <w:rPr>
                <w:lang w:val="cy-GB"/>
              </w:rPr>
            </w:pPr>
          </w:p>
        </w:tc>
        <w:tc>
          <w:tcPr>
            <w:tcW w:w="3402" w:type="dxa"/>
            <w:vAlign w:val="center"/>
          </w:tcPr>
          <w:p w:rsidR="00166A13" w:rsidRPr="00D3368B" w:rsidRDefault="008A5E95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Cymerwch ofal gyda lluniau sydd wedi’u hanimeiddio.</w:t>
            </w:r>
          </w:p>
        </w:tc>
        <w:tc>
          <w:tcPr>
            <w:tcW w:w="3351" w:type="dxa"/>
            <w:vAlign w:val="center"/>
          </w:tcPr>
          <w:p w:rsidR="00166A13" w:rsidRPr="00D3368B" w:rsidRDefault="00D4241C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Gall defnyddwyr meddalwedd chwyddo’r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ei chael hi’n anodd i ddarllen lluniau os yw’r wybodaeth yn symud o gwmpas.</w:t>
            </w:r>
          </w:p>
        </w:tc>
      </w:tr>
      <w:tr w:rsidR="007A3EB0" w:rsidRPr="00D3368B" w:rsidTr="00166A13">
        <w:tc>
          <w:tcPr>
            <w:tcW w:w="2263" w:type="dxa"/>
            <w:vAlign w:val="center"/>
          </w:tcPr>
          <w:p w:rsidR="007A3EB0" w:rsidRPr="00D3368B" w:rsidRDefault="005C7798" w:rsidP="00166A13">
            <w:pPr>
              <w:jc w:val="center"/>
              <w:rPr>
                <w:lang w:val="cy-GB"/>
              </w:rPr>
            </w:pPr>
            <w:r w:rsidRPr="00D3368B">
              <w:rPr>
                <w:bCs/>
                <w:lang w:val="cy-GB"/>
              </w:rPr>
              <w:t>Tanlinellu</w:t>
            </w:r>
          </w:p>
        </w:tc>
        <w:tc>
          <w:tcPr>
            <w:tcW w:w="3402" w:type="dxa"/>
            <w:vAlign w:val="center"/>
          </w:tcPr>
          <w:p w:rsidR="007A3EB0" w:rsidRPr="00D3368B" w:rsidRDefault="008A5E95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 xml:space="preserve">Peidiwch </w:t>
            </w:r>
            <w:r w:rsidRPr="00D3368B">
              <w:rPr>
                <w:rFonts w:cstheme="minorHAns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thanlinellu blociau mawr o eiriau.</w:t>
            </w:r>
          </w:p>
        </w:tc>
        <w:tc>
          <w:tcPr>
            <w:tcW w:w="3351" w:type="dxa"/>
            <w:vAlign w:val="center"/>
          </w:tcPr>
          <w:p w:rsidR="007A3EB0" w:rsidRPr="00D3368B" w:rsidRDefault="00BA1F6C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Mae tanlinellu yn cynrychioli testun hyperddolen.</w:t>
            </w:r>
            <w:r w:rsidR="00166A13" w:rsidRPr="00D3368B">
              <w:rPr>
                <w:lang w:val="cy-GB"/>
              </w:rPr>
              <w:t xml:space="preserve"> </w:t>
            </w:r>
            <w:r w:rsidR="008A5E95" w:rsidRPr="00D3368B">
              <w:rPr>
                <w:lang w:val="cy-GB"/>
              </w:rPr>
              <w:t>Gall blociau mawr o danlinellu fod yn ddryslyd ar gyfer defnyddwyr meddalwedd darllen sgr</w:t>
            </w:r>
            <w:r w:rsidR="008A5E95" w:rsidRPr="00D3368B">
              <w:rPr>
                <w:rFonts w:cstheme="minorHAnsi"/>
                <w:lang w:val="cy-GB"/>
              </w:rPr>
              <w:t>î</w:t>
            </w:r>
            <w:r w:rsidR="008A5E95" w:rsidRPr="00D3368B">
              <w:rPr>
                <w:lang w:val="cy-GB"/>
              </w:rPr>
              <w:t>n.</w:t>
            </w:r>
          </w:p>
        </w:tc>
      </w:tr>
      <w:tr w:rsidR="00166A13" w:rsidRPr="00D3368B" w:rsidTr="00166A13">
        <w:tc>
          <w:tcPr>
            <w:tcW w:w="2263" w:type="dxa"/>
            <w:vAlign w:val="center"/>
          </w:tcPr>
          <w:p w:rsidR="00166A13" w:rsidRPr="00D3368B" w:rsidRDefault="005C7798" w:rsidP="00166A13">
            <w:pPr>
              <w:jc w:val="center"/>
              <w:rPr>
                <w:bCs/>
                <w:lang w:val="cy-GB"/>
              </w:rPr>
            </w:pPr>
            <w:r w:rsidRPr="00D3368B">
              <w:rPr>
                <w:bCs/>
                <w:lang w:val="cy-GB"/>
              </w:rPr>
              <w:t>Penawdau</w:t>
            </w:r>
          </w:p>
        </w:tc>
        <w:tc>
          <w:tcPr>
            <w:tcW w:w="3402" w:type="dxa"/>
            <w:vAlign w:val="center"/>
          </w:tcPr>
          <w:p w:rsidR="00166A13" w:rsidRPr="00D3368B" w:rsidRDefault="008A5E95" w:rsidP="002834C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Defnyddiwch benawdau addas.</w:t>
            </w:r>
            <w:r w:rsidR="00166A13" w:rsidRPr="00D3368B">
              <w:rPr>
                <w:lang w:val="cy-GB"/>
              </w:rPr>
              <w:t xml:space="preserve"> </w:t>
            </w:r>
            <w:r w:rsidR="002834C3" w:rsidRPr="00D3368B">
              <w:rPr>
                <w:lang w:val="cy-GB"/>
              </w:rPr>
              <w:t>Trwy Olygydd Cynnwys Blackboard, o ddewis.</w:t>
            </w:r>
          </w:p>
        </w:tc>
        <w:tc>
          <w:tcPr>
            <w:tcW w:w="3351" w:type="dxa"/>
            <w:vAlign w:val="center"/>
          </w:tcPr>
          <w:p w:rsidR="00166A13" w:rsidRPr="00D3368B" w:rsidRDefault="002834C3" w:rsidP="002048A1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Bydd penawdau sydd wedi’u hysgrifennu’n briodol yn gwneud llywio yn haws. Gallwch ddefnyddio Golygydd Cynnwys Blackboard ar gyfer hyn.</w:t>
            </w:r>
            <w:r w:rsidR="002048A1" w:rsidRPr="00D3368B">
              <w:rPr>
                <w:lang w:val="cy-GB"/>
              </w:rPr>
              <w:t xml:space="preserve"> Peth da yw defnyddio tagiau pennawd HTML, er enghraifft</w:t>
            </w:r>
            <w:r w:rsidR="00166A13" w:rsidRPr="00D3368B">
              <w:rPr>
                <w:lang w:val="cy-GB"/>
              </w:rPr>
              <w:t xml:space="preserve"> H1, H2, H3, </w:t>
            </w:r>
            <w:r w:rsidR="002048A1" w:rsidRPr="00D3368B">
              <w:rPr>
                <w:lang w:val="cy-GB"/>
              </w:rPr>
              <w:t>ac i lunio’r ddogfen fel amlinelliad – po fwyaf strwythuredig yw’r tudalen, yr hawsaf i’w ddarllen ydyw. Mae’n bwysig fod y tagiau hyn yn cael eu defnyddio yn y drefn gywir (hynny yw, H1 cyn H2).</w:t>
            </w:r>
            <w:r w:rsidR="00166A13" w:rsidRPr="00D3368B">
              <w:rPr>
                <w:lang w:val="cy-GB"/>
              </w:rPr>
              <w:t xml:space="preserve"> </w:t>
            </w:r>
          </w:p>
        </w:tc>
      </w:tr>
      <w:tr w:rsidR="00166A13" w:rsidRPr="00D3368B" w:rsidTr="00166A13">
        <w:tc>
          <w:tcPr>
            <w:tcW w:w="2263" w:type="dxa"/>
            <w:vMerge w:val="restart"/>
            <w:vAlign w:val="center"/>
          </w:tcPr>
          <w:p w:rsidR="00166A13" w:rsidRPr="00D3368B" w:rsidRDefault="002048A1" w:rsidP="00166A13">
            <w:pPr>
              <w:jc w:val="center"/>
              <w:rPr>
                <w:bCs/>
                <w:lang w:val="cy-GB"/>
              </w:rPr>
            </w:pPr>
            <w:r w:rsidRPr="00D3368B">
              <w:rPr>
                <w:bCs/>
                <w:lang w:val="cy-GB"/>
              </w:rPr>
              <w:t>Dolenni Cyswllt</w:t>
            </w:r>
          </w:p>
        </w:tc>
        <w:tc>
          <w:tcPr>
            <w:tcW w:w="3402" w:type="dxa"/>
            <w:vAlign w:val="center"/>
          </w:tcPr>
          <w:p w:rsidR="00166A13" w:rsidRPr="00D3368B" w:rsidRDefault="002048A1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Osgowch ddefnyddio mwy na 10 dolen gyswllt ar un tudalen.</w:t>
            </w:r>
          </w:p>
        </w:tc>
        <w:tc>
          <w:tcPr>
            <w:tcW w:w="3351" w:type="dxa"/>
            <w:vAlign w:val="center"/>
          </w:tcPr>
          <w:p w:rsidR="00166A13" w:rsidRPr="00D3368B" w:rsidRDefault="002048A1" w:rsidP="002048A1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 xml:space="preserve">I’r defnyddiwr </w:t>
            </w:r>
            <w:r w:rsidRPr="00D3368B">
              <w:rPr>
                <w:rFonts w:cstheme="minorHAns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nam ar ei olwg, mae’r broses o sganio dolenni cyswllt yn llinellog ac felly’n araf. Gall defnyddio gormod o ddolenni cyswllt ar dudalen fod yn rhwystredig iawn i’r defnyddiwr. </w:t>
            </w:r>
          </w:p>
        </w:tc>
      </w:tr>
      <w:tr w:rsidR="00166A13" w:rsidRPr="00D3368B" w:rsidTr="00166A13">
        <w:tc>
          <w:tcPr>
            <w:tcW w:w="2263" w:type="dxa"/>
            <w:vMerge/>
            <w:vAlign w:val="center"/>
          </w:tcPr>
          <w:p w:rsidR="00166A13" w:rsidRPr="00D3368B" w:rsidRDefault="00166A13" w:rsidP="00166A13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402" w:type="dxa"/>
            <w:vAlign w:val="center"/>
          </w:tcPr>
          <w:p w:rsidR="00166A13" w:rsidRPr="00D3368B" w:rsidRDefault="002048A1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 xml:space="preserve">Peidiwch </w:t>
            </w:r>
            <w:r w:rsidRPr="00D3368B">
              <w:rPr>
                <w:rFonts w:cstheme="minorHAns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defnyddio ‘cliciwch yma’ ar gyfer dolen gyswllt.</w:t>
            </w:r>
          </w:p>
        </w:tc>
        <w:tc>
          <w:tcPr>
            <w:tcW w:w="3351" w:type="dxa"/>
            <w:vAlign w:val="center"/>
          </w:tcPr>
          <w:p w:rsidR="00166A13" w:rsidRPr="00D3368B" w:rsidRDefault="002048A1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>Gall fod yn ddryslyd i’r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n. Defnyddiwch ddisgrifiad fel: ‘ewch i Blackboard’.</w:t>
            </w:r>
          </w:p>
        </w:tc>
      </w:tr>
      <w:tr w:rsidR="00166A13" w:rsidRPr="00D3368B" w:rsidTr="00166A13">
        <w:tc>
          <w:tcPr>
            <w:tcW w:w="2263" w:type="dxa"/>
            <w:vAlign w:val="center"/>
          </w:tcPr>
          <w:p w:rsidR="00166A13" w:rsidRPr="00D3368B" w:rsidRDefault="003F3158" w:rsidP="00166A13">
            <w:pPr>
              <w:jc w:val="center"/>
              <w:rPr>
                <w:bCs/>
                <w:lang w:val="cy-GB"/>
              </w:rPr>
            </w:pPr>
            <w:r w:rsidRPr="00D3368B">
              <w:rPr>
                <w:bCs/>
                <w:lang w:val="cy-GB"/>
              </w:rPr>
              <w:t>Dewislen Cyrsiau</w:t>
            </w:r>
          </w:p>
        </w:tc>
        <w:tc>
          <w:tcPr>
            <w:tcW w:w="3402" w:type="dxa"/>
            <w:vAlign w:val="center"/>
          </w:tcPr>
          <w:p w:rsidR="00166A13" w:rsidRPr="00D3368B" w:rsidRDefault="003F3158" w:rsidP="00166A13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 xml:space="preserve">Peidiwch </w:t>
            </w:r>
            <w:r w:rsidRPr="00D3368B">
              <w:rPr>
                <w:rFonts w:cstheme="minorHAns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diwygio Dewislen Cyrsiau’r Adran ar eich modiwl</w:t>
            </w:r>
          </w:p>
        </w:tc>
        <w:tc>
          <w:tcPr>
            <w:tcW w:w="3351" w:type="dxa"/>
            <w:vAlign w:val="center"/>
          </w:tcPr>
          <w:p w:rsidR="00166A13" w:rsidRPr="00D3368B" w:rsidRDefault="003F3158" w:rsidP="003F3158">
            <w:pPr>
              <w:jc w:val="center"/>
              <w:rPr>
                <w:lang w:val="cy-GB"/>
              </w:rPr>
            </w:pPr>
            <w:r w:rsidRPr="00D3368B">
              <w:rPr>
                <w:lang w:val="cy-GB"/>
              </w:rPr>
              <w:t xml:space="preserve">Mae’r ddewislen cyrsiau wedi’i chreu’n bwrpasol i fod mor hygyrch </w:t>
            </w:r>
            <w:r w:rsidRPr="00D3368B">
              <w:rPr>
                <w:rFonts w:cstheme="minorHAns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phosibl. Gall defnyddio cefndiroedd gweadog neu newid lliw eitemau’r ddewislen effeithio ar gyferbyniad y lliwiau.</w:t>
            </w:r>
            <w:r w:rsidR="00166A13" w:rsidRPr="00D3368B">
              <w:rPr>
                <w:lang w:val="cy-GB"/>
              </w:rPr>
              <w:t xml:space="preserve"> </w:t>
            </w:r>
          </w:p>
        </w:tc>
      </w:tr>
    </w:tbl>
    <w:p w:rsidR="007A3EB0" w:rsidRPr="00D3368B" w:rsidRDefault="007A3EB0" w:rsidP="00A57626">
      <w:pPr>
        <w:rPr>
          <w:lang w:val="cy-GB"/>
        </w:rPr>
      </w:pPr>
    </w:p>
    <w:p w:rsidR="00A57626" w:rsidRPr="00D3368B" w:rsidRDefault="00A62D5A" w:rsidP="00A57626">
      <w:pPr>
        <w:pStyle w:val="Pennawd1"/>
        <w:rPr>
          <w:lang w:val="cy-GB"/>
        </w:rPr>
      </w:pPr>
      <w:r w:rsidRPr="00D3368B">
        <w:rPr>
          <w:lang w:val="cy-GB"/>
        </w:rPr>
        <w:t>Creu deunyddiau hygyrch neu gynnwys arall yn Blackboard</w:t>
      </w:r>
    </w:p>
    <w:p w:rsidR="00F16EF8" w:rsidRPr="00D3368B" w:rsidRDefault="00A62D5A" w:rsidP="00A57626">
      <w:pPr>
        <w:rPr>
          <w:lang w:val="cy-GB"/>
        </w:rPr>
      </w:pPr>
      <w:r w:rsidRPr="00D3368B">
        <w:rPr>
          <w:lang w:val="cy-GB"/>
        </w:rPr>
        <w:t>Gall dogfennau a chynnwys arall gael eu lan</w:t>
      </w:r>
      <w:r w:rsidR="00D3368B">
        <w:rPr>
          <w:lang w:val="cy-GB"/>
        </w:rPr>
        <w:t>l</w:t>
      </w:r>
      <w:r w:rsidRPr="00D3368B">
        <w:rPr>
          <w:lang w:val="cy-GB"/>
        </w:rPr>
        <w:t>wytho i Blackboard. Mae’r ddeddfwriaeth Hygyrchedd yn cynnwys hefyd y dogfennau y byddwch yn eu darparu yn Blackboard.</w:t>
      </w:r>
    </w:p>
    <w:p w:rsidR="00A57626" w:rsidRPr="00D3368B" w:rsidRDefault="00A62D5A" w:rsidP="00A57626">
      <w:pPr>
        <w:rPr>
          <w:lang w:val="cy-GB"/>
        </w:rPr>
      </w:pPr>
      <w:r w:rsidRPr="00D3368B">
        <w:rPr>
          <w:lang w:val="cy-GB"/>
        </w:rPr>
        <w:t>Mae’r tabl isod yn dangos arfer gorau ar gyfer lanlwytho cynnwys y we yn Blackboard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707"/>
        <w:gridCol w:w="2074"/>
        <w:gridCol w:w="5461"/>
      </w:tblGrid>
      <w:tr w:rsidR="00F16EF8" w:rsidRPr="00D3368B" w:rsidTr="00563587">
        <w:tc>
          <w:tcPr>
            <w:tcW w:w="1331" w:type="dxa"/>
            <w:vAlign w:val="center"/>
          </w:tcPr>
          <w:p w:rsidR="00F16EF8" w:rsidRPr="00D3368B" w:rsidRDefault="00A62D5A" w:rsidP="00A519CF">
            <w:pPr>
              <w:pStyle w:val="Pennawd2"/>
              <w:jc w:val="center"/>
              <w:outlineLvl w:val="1"/>
              <w:rPr>
                <w:lang w:val="cy-GB"/>
              </w:rPr>
            </w:pPr>
            <w:r w:rsidRPr="00D3368B">
              <w:rPr>
                <w:lang w:val="cy-GB"/>
              </w:rPr>
              <w:lastRenderedPageBreak/>
              <w:t>Math o Lanlwytho</w:t>
            </w:r>
          </w:p>
        </w:tc>
        <w:tc>
          <w:tcPr>
            <w:tcW w:w="2224" w:type="dxa"/>
            <w:vAlign w:val="center"/>
          </w:tcPr>
          <w:p w:rsidR="00F16EF8" w:rsidRPr="00D3368B" w:rsidRDefault="00A62D5A" w:rsidP="00A519CF">
            <w:pPr>
              <w:pStyle w:val="Pennawd2"/>
              <w:jc w:val="center"/>
              <w:outlineLvl w:val="1"/>
              <w:rPr>
                <w:lang w:val="cy-GB"/>
              </w:rPr>
            </w:pPr>
            <w:r w:rsidRPr="00D3368B">
              <w:rPr>
                <w:lang w:val="cy-GB"/>
              </w:rPr>
              <w:t>Problemau Hygyrchedd</w:t>
            </w:r>
            <w:r w:rsidR="00563587" w:rsidRPr="00D3368B">
              <w:rPr>
                <w:lang w:val="cy-GB"/>
              </w:rPr>
              <w:t xml:space="preserve"> </w:t>
            </w:r>
          </w:p>
        </w:tc>
        <w:tc>
          <w:tcPr>
            <w:tcW w:w="5461" w:type="dxa"/>
            <w:vAlign w:val="center"/>
          </w:tcPr>
          <w:p w:rsidR="00F16EF8" w:rsidRPr="00D3368B" w:rsidRDefault="00A62D5A" w:rsidP="00563587">
            <w:pPr>
              <w:pStyle w:val="Pennawd2"/>
              <w:jc w:val="center"/>
              <w:outlineLvl w:val="1"/>
              <w:rPr>
                <w:lang w:val="cy-GB"/>
              </w:rPr>
            </w:pPr>
            <w:r w:rsidRPr="00D3368B">
              <w:rPr>
                <w:lang w:val="cy-GB"/>
              </w:rPr>
              <w:t>Atebion</w:t>
            </w:r>
          </w:p>
        </w:tc>
      </w:tr>
      <w:tr w:rsidR="00F16EF8" w:rsidRPr="00D3368B" w:rsidTr="00563587">
        <w:tc>
          <w:tcPr>
            <w:tcW w:w="1331" w:type="dxa"/>
            <w:vAlign w:val="center"/>
          </w:tcPr>
          <w:p w:rsidR="00F16EF8" w:rsidRPr="00D3368B" w:rsidRDefault="00A62D5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Lluniau</w:t>
            </w:r>
          </w:p>
        </w:tc>
        <w:tc>
          <w:tcPr>
            <w:tcW w:w="2224" w:type="dxa"/>
            <w:vAlign w:val="center"/>
          </w:tcPr>
          <w:p w:rsidR="00F16EF8" w:rsidRPr="00D3368B" w:rsidRDefault="00A62D5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Ni all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ddisgrifio lluniau heb destun amgen</w:t>
            </w:r>
          </w:p>
        </w:tc>
        <w:tc>
          <w:tcPr>
            <w:tcW w:w="5461" w:type="dxa"/>
            <w:vAlign w:val="center"/>
          </w:tcPr>
          <w:p w:rsidR="00F16EF8" w:rsidRPr="00D3368B" w:rsidRDefault="00A62D5A" w:rsidP="00A62D5A">
            <w:pPr>
              <w:rPr>
                <w:lang w:val="cy-GB"/>
              </w:rPr>
            </w:pPr>
            <w:r w:rsidRPr="00D3368B">
              <w:rPr>
                <w:lang w:val="cy-GB"/>
              </w:rPr>
              <w:t>Eglurwch y llun mewn geiriau i’r bobl sy’n defnyddio’r tudalen heb graffeg (e.e. testun yn unig, neu eiria</w:t>
            </w:r>
            <w:r w:rsidR="000A1EDF" w:rsidRPr="00D3368B">
              <w:rPr>
                <w:lang w:val="cy-GB"/>
              </w:rPr>
              <w:t>u ar lafar). Gellir gwneud hyn t</w:t>
            </w:r>
            <w:r w:rsidRPr="00D3368B">
              <w:rPr>
                <w:lang w:val="cy-GB"/>
              </w:rPr>
              <w:t>rwy ychwanegu priodoledd testun amgen neu destun ALT. Dylai’r testun hwn gyfleu’r hyn sy’n bwysig neu bwrpas y llun.</w:t>
            </w:r>
          </w:p>
        </w:tc>
      </w:tr>
      <w:tr w:rsidR="00563587" w:rsidRPr="00D3368B" w:rsidTr="00563587">
        <w:tc>
          <w:tcPr>
            <w:tcW w:w="1331" w:type="dxa"/>
            <w:vAlign w:val="center"/>
          </w:tcPr>
          <w:p w:rsidR="00563587" w:rsidRPr="00D3368B" w:rsidRDefault="005C7798" w:rsidP="00563587">
            <w:pPr>
              <w:rPr>
                <w:lang w:val="cy-GB"/>
              </w:rPr>
            </w:pPr>
            <w:r w:rsidRPr="00D3368B">
              <w:rPr>
                <w:bCs/>
                <w:lang w:val="cy-GB"/>
              </w:rPr>
              <w:t>Graffiau/Siartiau</w:t>
            </w:r>
          </w:p>
        </w:tc>
        <w:tc>
          <w:tcPr>
            <w:tcW w:w="2224" w:type="dxa"/>
            <w:vAlign w:val="center"/>
          </w:tcPr>
          <w:p w:rsidR="00563587" w:rsidRPr="00D3368B" w:rsidRDefault="002C5F36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Ni all rhai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eu darllen.</w:t>
            </w:r>
          </w:p>
        </w:tc>
        <w:tc>
          <w:tcPr>
            <w:tcW w:w="5461" w:type="dxa"/>
            <w:vAlign w:val="center"/>
          </w:tcPr>
          <w:p w:rsidR="00563587" w:rsidRPr="00D3368B" w:rsidRDefault="002C5F36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Eglurwch y graff neu’r siart mewn geiriau er mwyn i’r myfyrwyr allu eu deall yn rhesymegol.</w:t>
            </w:r>
          </w:p>
        </w:tc>
      </w:tr>
      <w:tr w:rsidR="00563587" w:rsidRPr="00D3368B" w:rsidTr="00563587">
        <w:tc>
          <w:tcPr>
            <w:tcW w:w="1331" w:type="dxa"/>
            <w:vAlign w:val="center"/>
          </w:tcPr>
          <w:p w:rsidR="00563587" w:rsidRPr="00D3368B" w:rsidRDefault="005C7798" w:rsidP="00563587">
            <w:pPr>
              <w:rPr>
                <w:bCs/>
                <w:lang w:val="cy-GB"/>
              </w:rPr>
            </w:pPr>
            <w:r w:rsidRPr="00D3368B">
              <w:rPr>
                <w:bCs/>
                <w:lang w:val="cy-GB"/>
              </w:rPr>
              <w:t>Tablau</w:t>
            </w:r>
          </w:p>
        </w:tc>
        <w:tc>
          <w:tcPr>
            <w:tcW w:w="2224" w:type="dxa"/>
            <w:vAlign w:val="center"/>
          </w:tcPr>
          <w:p w:rsidR="00563587" w:rsidRPr="00D3368B" w:rsidRDefault="00CB66D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Tablau syml yn unig all gael eu darllen gan ddarllenwyr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 xml:space="preserve">n. Peidiwch </w:t>
            </w:r>
            <w:r w:rsidRPr="00D3368B">
              <w:rPr>
                <w:rFonts w:ascii="Calibri" w:hAnsi="Calibri" w:cs="Calibri"/>
                <w:lang w:val="cy-GB"/>
              </w:rPr>
              <w:t>â</w:t>
            </w:r>
            <w:r w:rsidRPr="00D3368B">
              <w:rPr>
                <w:lang w:val="cy-GB"/>
              </w:rPr>
              <w:t xml:space="preserve"> defnyddio tablau dianghenraid.</w:t>
            </w:r>
          </w:p>
        </w:tc>
        <w:tc>
          <w:tcPr>
            <w:tcW w:w="5461" w:type="dxa"/>
            <w:vAlign w:val="center"/>
          </w:tcPr>
          <w:p w:rsidR="00563587" w:rsidRPr="00D3368B" w:rsidRDefault="00CB66D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 xml:space="preserve">Cadwch bob tabl yn syml </w:t>
            </w:r>
            <w:r w:rsidR="002C5F36" w:rsidRPr="00D3368B">
              <w:rPr>
                <w:lang w:val="cy-GB"/>
              </w:rPr>
              <w:t>a sicrhewch fod yr ystyr yn glir wrth ddarllen llinell-wrth-linell.</w:t>
            </w:r>
            <w:r w:rsidR="00563587" w:rsidRPr="00D3368B">
              <w:rPr>
                <w:lang w:val="cy-GB"/>
              </w:rPr>
              <w:t xml:space="preserve"> </w:t>
            </w:r>
            <w:r w:rsidRPr="00D3368B">
              <w:rPr>
                <w:lang w:val="cy-GB"/>
              </w:rPr>
              <w:t>Bydd y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yn darllen o’r gell uchaf ar y chwith yn y tabl i’r gell isaf ar y dde.</w:t>
            </w:r>
          </w:p>
        </w:tc>
      </w:tr>
      <w:tr w:rsidR="00563587" w:rsidRPr="00D3368B" w:rsidTr="00563587">
        <w:tc>
          <w:tcPr>
            <w:tcW w:w="1331" w:type="dxa"/>
            <w:vAlign w:val="center"/>
          </w:tcPr>
          <w:p w:rsidR="00563587" w:rsidRPr="00D3368B" w:rsidRDefault="00CB66DA" w:rsidP="00563587">
            <w:pPr>
              <w:rPr>
                <w:bCs/>
                <w:lang w:val="cy-GB"/>
              </w:rPr>
            </w:pPr>
            <w:r w:rsidRPr="00D3368B">
              <w:rPr>
                <w:bCs/>
                <w:lang w:val="cy-GB"/>
              </w:rPr>
              <w:t xml:space="preserve">Dogfennau PDF </w:t>
            </w:r>
            <w:r w:rsidR="00563587" w:rsidRPr="00D3368B">
              <w:rPr>
                <w:bCs/>
                <w:lang w:val="cy-GB"/>
              </w:rPr>
              <w:t>(Adobe Acrobat)</w:t>
            </w:r>
          </w:p>
        </w:tc>
        <w:tc>
          <w:tcPr>
            <w:tcW w:w="2224" w:type="dxa"/>
            <w:vAlign w:val="center"/>
          </w:tcPr>
          <w:p w:rsidR="00563587" w:rsidRPr="00D3368B" w:rsidRDefault="00CB66DA" w:rsidP="00CB66DA">
            <w:pPr>
              <w:rPr>
                <w:lang w:val="cy-GB"/>
              </w:rPr>
            </w:pPr>
            <w:r w:rsidRPr="00D3368B">
              <w:rPr>
                <w:lang w:val="cy-GB"/>
              </w:rPr>
              <w:t>Ni all rhai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ddarllen ffeiliau PDF. Rydym yn argymell defnyddio Word er mwyn gallu newid maint y testun</w:t>
            </w:r>
            <w:r w:rsidR="00563587" w:rsidRPr="00D3368B">
              <w:rPr>
                <w:lang w:val="cy-GB"/>
              </w:rPr>
              <w:t xml:space="preserve">. </w:t>
            </w:r>
          </w:p>
        </w:tc>
        <w:tc>
          <w:tcPr>
            <w:tcW w:w="5461" w:type="dxa"/>
            <w:vAlign w:val="center"/>
          </w:tcPr>
          <w:p w:rsidR="00563587" w:rsidRPr="00D3368B" w:rsidRDefault="00CB66D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Sicrhewch fod testun HTML ar gael hefyd a darparwch ddolen fydd yn cysylltu ag</w:t>
            </w:r>
            <w:r w:rsidR="00563587" w:rsidRPr="00D3368B">
              <w:rPr>
                <w:lang w:val="cy-GB"/>
              </w:rPr>
              <w:t xml:space="preserve"> Adobe Acrobat Reader</w:t>
            </w:r>
            <w:r w:rsidRPr="00D3368B">
              <w:rPr>
                <w:lang w:val="cy-GB"/>
              </w:rPr>
              <w:t xml:space="preserve"> am ddim</w:t>
            </w:r>
            <w:r w:rsidR="00563587" w:rsidRPr="00D3368B">
              <w:rPr>
                <w:lang w:val="cy-GB"/>
              </w:rPr>
              <w:t>.</w:t>
            </w:r>
            <w:r w:rsidR="00563587" w:rsidRPr="00D3368B">
              <w:rPr>
                <w:lang w:val="cy-GB"/>
              </w:rPr>
              <w:br/>
            </w:r>
            <w:hyperlink r:id="rId8" w:history="1">
              <w:r w:rsidR="00563587" w:rsidRPr="00D3368B">
                <w:rPr>
                  <w:rStyle w:val="Hyperddolen"/>
                  <w:lang w:val="cy-GB"/>
                </w:rPr>
                <w:t>http://www.adobe.com/products/acrobat/readstep2.html</w:t>
              </w:r>
            </w:hyperlink>
          </w:p>
        </w:tc>
      </w:tr>
      <w:tr w:rsidR="00563587" w:rsidRPr="00D3368B" w:rsidTr="00563587">
        <w:tc>
          <w:tcPr>
            <w:tcW w:w="1331" w:type="dxa"/>
            <w:vAlign w:val="center"/>
          </w:tcPr>
          <w:p w:rsidR="00563587" w:rsidRPr="00D3368B" w:rsidRDefault="005C7798" w:rsidP="00563587">
            <w:pPr>
              <w:spacing w:after="160" w:line="259" w:lineRule="auto"/>
              <w:rPr>
                <w:lang w:val="cy-GB"/>
              </w:rPr>
            </w:pPr>
            <w:r w:rsidRPr="00D3368B">
              <w:rPr>
                <w:bCs/>
                <w:lang w:val="cy-GB"/>
              </w:rPr>
              <w:t>Cyflwyniadau PowerPoint</w:t>
            </w:r>
          </w:p>
        </w:tc>
        <w:tc>
          <w:tcPr>
            <w:tcW w:w="2224" w:type="dxa"/>
            <w:vAlign w:val="center"/>
          </w:tcPr>
          <w:p w:rsidR="00563587" w:rsidRPr="00D3368B" w:rsidRDefault="00CB66D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Ni fydd modd i ddefnyddwyr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 xml:space="preserve">n weld ffeiliau </w:t>
            </w:r>
            <w:r w:rsidR="00563587" w:rsidRPr="00D3368B">
              <w:rPr>
                <w:lang w:val="cy-GB"/>
              </w:rPr>
              <w:t>P</w:t>
            </w:r>
            <w:r w:rsidRPr="00D3368B">
              <w:rPr>
                <w:lang w:val="cy-GB"/>
              </w:rPr>
              <w:t>owerPoint.</w:t>
            </w:r>
          </w:p>
        </w:tc>
        <w:tc>
          <w:tcPr>
            <w:tcW w:w="5461" w:type="dxa"/>
            <w:vAlign w:val="center"/>
          </w:tcPr>
          <w:p w:rsidR="00563587" w:rsidRPr="00D3368B" w:rsidRDefault="00CB66D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Darparwch drawsgrifiadau eraill lle bo’n bosibl. Defnyddiwch y maes nodiadau yn PowerPoint.</w:t>
            </w:r>
          </w:p>
        </w:tc>
      </w:tr>
      <w:tr w:rsidR="00563587" w:rsidRPr="00D3368B" w:rsidTr="00563587">
        <w:tc>
          <w:tcPr>
            <w:tcW w:w="1331" w:type="dxa"/>
            <w:vAlign w:val="center"/>
          </w:tcPr>
          <w:p w:rsidR="00563587" w:rsidRPr="00D3368B" w:rsidRDefault="00CB66DA" w:rsidP="00563587">
            <w:pPr>
              <w:rPr>
                <w:bCs/>
                <w:lang w:val="cy-GB"/>
              </w:rPr>
            </w:pPr>
            <w:r w:rsidRPr="00D3368B">
              <w:rPr>
                <w:bCs/>
                <w:lang w:val="cy-GB"/>
              </w:rPr>
              <w:t>Amlgyfrwng</w:t>
            </w:r>
          </w:p>
        </w:tc>
        <w:tc>
          <w:tcPr>
            <w:tcW w:w="2224" w:type="dxa"/>
            <w:vAlign w:val="center"/>
          </w:tcPr>
          <w:p w:rsidR="00563587" w:rsidRPr="00D3368B" w:rsidRDefault="00CB66D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Ni fydd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yn gallu darllen ffeiliau amlgyfrwng.</w:t>
            </w:r>
          </w:p>
        </w:tc>
        <w:tc>
          <w:tcPr>
            <w:tcW w:w="5461" w:type="dxa"/>
            <w:vAlign w:val="center"/>
          </w:tcPr>
          <w:p w:rsidR="00563587" w:rsidRPr="00D3368B" w:rsidRDefault="00CB66DA" w:rsidP="00563587">
            <w:pPr>
              <w:rPr>
                <w:lang w:val="cy-GB"/>
              </w:rPr>
            </w:pPr>
            <w:r w:rsidRPr="00D3368B">
              <w:rPr>
                <w:lang w:val="cy-GB"/>
              </w:rPr>
              <w:t>Ni fydd darllenwyr sgr</w:t>
            </w:r>
            <w:r w:rsidRPr="00D3368B">
              <w:rPr>
                <w:rFonts w:cstheme="minorHAnsi"/>
                <w:lang w:val="cy-GB"/>
              </w:rPr>
              <w:t>î</w:t>
            </w:r>
            <w:r w:rsidRPr="00D3368B">
              <w:rPr>
                <w:lang w:val="cy-GB"/>
              </w:rPr>
              <w:t>n yn gallu darllen ffeiliau amlgyfrwng.</w:t>
            </w:r>
          </w:p>
        </w:tc>
      </w:tr>
    </w:tbl>
    <w:p w:rsidR="00A57626" w:rsidRPr="00D3368B" w:rsidRDefault="005C7798" w:rsidP="00A57626">
      <w:pPr>
        <w:pStyle w:val="Pennawd1"/>
        <w:rPr>
          <w:lang w:val="cy-GB"/>
        </w:rPr>
      </w:pPr>
      <w:r w:rsidRPr="00D3368B">
        <w:rPr>
          <w:lang w:val="cy-GB"/>
        </w:rPr>
        <w:t>Sicrhau bod y Cynnwys yn hygyrch</w:t>
      </w:r>
    </w:p>
    <w:p w:rsidR="00A57626" w:rsidRPr="00D3368B" w:rsidRDefault="00A62D5A" w:rsidP="00A57626">
      <w:pPr>
        <w:rPr>
          <w:lang w:val="cy-GB"/>
        </w:rPr>
      </w:pPr>
      <w:r w:rsidRPr="00D3368B">
        <w:rPr>
          <w:lang w:val="cy-GB"/>
        </w:rPr>
        <w:t xml:space="preserve">Er bod rhyngwyneb Blackboard yn hygyrch, rhaid i’r cynnwys sy’n cael ei lanlwytho iddo fod mor hygyrch </w:t>
      </w:r>
      <w:r w:rsidRPr="00D3368B">
        <w:rPr>
          <w:rFonts w:cstheme="minorHAnsi"/>
          <w:lang w:val="cy-GB"/>
        </w:rPr>
        <w:t>â</w:t>
      </w:r>
      <w:r w:rsidRPr="00D3368B">
        <w:rPr>
          <w:lang w:val="cy-GB"/>
        </w:rPr>
        <w:t xml:space="preserve"> phosibl. Ar gyfer rhestr wirio a rhagor o wybodaeth, gweler y canllawiau ar gyfer</w:t>
      </w:r>
      <w:r w:rsidR="00A57626" w:rsidRPr="00D3368B">
        <w:rPr>
          <w:lang w:val="cy-GB"/>
        </w:rPr>
        <w:t xml:space="preserve"> </w:t>
      </w:r>
      <w:hyperlink r:id="rId9" w:anchor="guidance-on-creating-accessible-learning-materials" w:tgtFrame="_blank" w:history="1">
        <w:r w:rsidRPr="00D3368B">
          <w:rPr>
            <w:rStyle w:val="Hyperddolen"/>
            <w:lang w:val="cy-GB"/>
          </w:rPr>
          <w:t>Creu Deunyddiau Dysgu Hygyrch</w:t>
        </w:r>
        <w:r w:rsidR="00A57626" w:rsidRPr="00D3368B">
          <w:rPr>
            <w:rStyle w:val="Hyperddolen"/>
            <w:lang w:val="cy-GB"/>
          </w:rPr>
          <w:t>. </w:t>
        </w:r>
      </w:hyperlink>
    </w:p>
    <w:p w:rsidR="00A57626" w:rsidRPr="00D3368B" w:rsidRDefault="005C7798" w:rsidP="00A57626">
      <w:pPr>
        <w:pStyle w:val="Pennawd1"/>
        <w:rPr>
          <w:lang w:val="cy-GB"/>
        </w:rPr>
      </w:pPr>
      <w:r w:rsidRPr="00D3368B">
        <w:rPr>
          <w:lang w:val="cy-GB"/>
        </w:rPr>
        <w:t>Rhagor o Wybodaeth</w:t>
      </w:r>
    </w:p>
    <w:p w:rsidR="00A57626" w:rsidRPr="00D3368B" w:rsidRDefault="00B02E69" w:rsidP="00A57626">
      <w:pPr>
        <w:numPr>
          <w:ilvl w:val="0"/>
          <w:numId w:val="1"/>
        </w:numPr>
        <w:rPr>
          <w:lang w:val="cy-GB"/>
        </w:rPr>
      </w:pPr>
      <w:hyperlink r:id="rId10" w:tgtFrame="_blank" w:history="1">
        <w:r w:rsidR="005C7798" w:rsidRPr="00D3368B">
          <w:rPr>
            <w:rStyle w:val="Hyperddolen"/>
            <w:lang w:val="cy-GB"/>
          </w:rPr>
          <w:t>Gwybodaeth</w:t>
        </w:r>
      </w:hyperlink>
      <w:r w:rsidR="005C7798" w:rsidRPr="00D3368B">
        <w:rPr>
          <w:rStyle w:val="Hyperddolen"/>
          <w:lang w:val="cy-GB"/>
        </w:rPr>
        <w:t xml:space="preserve"> am Hygyrchedd Digidol y Brifysgol</w:t>
      </w:r>
    </w:p>
    <w:p w:rsidR="00A57626" w:rsidRPr="00D3368B" w:rsidRDefault="00B02E69" w:rsidP="00A57626">
      <w:pPr>
        <w:numPr>
          <w:ilvl w:val="0"/>
          <w:numId w:val="1"/>
        </w:numPr>
        <w:rPr>
          <w:lang w:val="cy-GB"/>
        </w:rPr>
      </w:pPr>
      <w:hyperlink r:id="rId11" w:history="1">
        <w:r w:rsidR="00A62D5A" w:rsidRPr="00D3368B">
          <w:rPr>
            <w:rStyle w:val="Hyperddolen"/>
            <w:lang w:val="cy-GB"/>
          </w:rPr>
          <w:t>Gwybodaeth Hygyrchedd Consortiwm y We Fyd-eang</w:t>
        </w:r>
        <w:r w:rsidR="00A57626" w:rsidRPr="00D3368B">
          <w:rPr>
            <w:rStyle w:val="Hyperddolen"/>
            <w:lang w:val="cy-GB"/>
          </w:rPr>
          <w:t xml:space="preserve"> </w:t>
        </w:r>
      </w:hyperlink>
    </w:p>
    <w:p w:rsidR="00A57626" w:rsidRPr="00D3368B" w:rsidRDefault="00B02E69" w:rsidP="00A57626">
      <w:pPr>
        <w:numPr>
          <w:ilvl w:val="0"/>
          <w:numId w:val="1"/>
        </w:numPr>
        <w:rPr>
          <w:lang w:val="cy-GB"/>
        </w:rPr>
      </w:pPr>
      <w:hyperlink r:id="rId12" w:tgtFrame="_blank" w:history="1">
        <w:r w:rsidR="00A62D5A" w:rsidRPr="00D3368B">
          <w:rPr>
            <w:rStyle w:val="Hyperddolen"/>
            <w:lang w:val="cy-GB"/>
          </w:rPr>
          <w:t>Isafswm Presenoldeb Gofynnol Blackboard</w:t>
        </w:r>
        <w:r w:rsidR="00A57626" w:rsidRPr="00D3368B">
          <w:rPr>
            <w:rStyle w:val="Hyperddolen"/>
            <w:lang w:val="cy-GB"/>
          </w:rPr>
          <w:t> </w:t>
        </w:r>
      </w:hyperlink>
    </w:p>
    <w:p w:rsidR="00A62D5A" w:rsidRPr="00D3368B" w:rsidRDefault="00B02E69" w:rsidP="00A57626">
      <w:pPr>
        <w:numPr>
          <w:ilvl w:val="0"/>
          <w:numId w:val="1"/>
        </w:numPr>
        <w:rPr>
          <w:lang w:val="cy-GB"/>
        </w:rPr>
      </w:pPr>
      <w:hyperlink r:id="rId13" w:history="1">
        <w:r w:rsidR="00A62D5A" w:rsidRPr="00D3368B">
          <w:rPr>
            <w:rStyle w:val="Hyperddolen"/>
            <w:lang w:val="cy-GB"/>
          </w:rPr>
          <w:t>Cwestiynau Cyffredin Hygyrchedd</w:t>
        </w:r>
        <w:r w:rsidR="00A57626" w:rsidRPr="00D3368B">
          <w:rPr>
            <w:rStyle w:val="Hyperddolen"/>
            <w:lang w:val="cy-GB"/>
          </w:rPr>
          <w:t xml:space="preserve"> </w:t>
        </w:r>
      </w:hyperlink>
      <w:r w:rsidR="00A62D5A" w:rsidRPr="00D3368B">
        <w:rPr>
          <w:lang w:val="cy-GB"/>
        </w:rPr>
        <w:t xml:space="preserve">Blackboard </w:t>
      </w:r>
    </w:p>
    <w:p w:rsidR="00A57626" w:rsidRPr="00D3368B" w:rsidRDefault="005C7798" w:rsidP="00A62D5A">
      <w:pPr>
        <w:rPr>
          <w:lang w:val="cy-GB"/>
        </w:rPr>
      </w:pPr>
      <w:r w:rsidRPr="00D3368B">
        <w:rPr>
          <w:lang w:val="cy-GB"/>
        </w:rPr>
        <w:t xml:space="preserve">Os bydd angen cyngor pellach arnoch ar hygyrchedd, cysylltwch </w:t>
      </w:r>
      <w:r w:rsidRPr="00D3368B">
        <w:rPr>
          <w:rFonts w:cstheme="minorHAnsi"/>
          <w:lang w:val="cy-GB"/>
        </w:rPr>
        <w:t>â</w:t>
      </w:r>
      <w:r w:rsidRPr="00D3368B">
        <w:rPr>
          <w:lang w:val="cy-GB"/>
        </w:rPr>
        <w:t xml:space="preserve">’r </w:t>
      </w:r>
      <w:r w:rsidR="00A57626" w:rsidRPr="00D3368B">
        <w:rPr>
          <w:lang w:val="cy-GB"/>
        </w:rPr>
        <w:t xml:space="preserve"> </w:t>
      </w:r>
      <w:hyperlink r:id="rId14" w:history="1">
        <w:r w:rsidRPr="00D3368B">
          <w:rPr>
            <w:rStyle w:val="Hyperddolen"/>
            <w:lang w:val="cy-GB"/>
          </w:rPr>
          <w:t>Uned</w:t>
        </w:r>
      </w:hyperlink>
      <w:r w:rsidRPr="00D3368B">
        <w:rPr>
          <w:rStyle w:val="Hyperddolen"/>
          <w:lang w:val="cy-GB"/>
        </w:rPr>
        <w:t xml:space="preserve"> Datblygu Dysgu ac Addysgu</w:t>
      </w:r>
      <w:r w:rsidR="00A57626" w:rsidRPr="00D3368B">
        <w:rPr>
          <w:lang w:val="cy-GB"/>
        </w:rPr>
        <w:t>.</w:t>
      </w:r>
      <w:r w:rsidR="00B02E69">
        <w:rPr>
          <w:lang w:val="cy-GB"/>
        </w:rPr>
        <w:t xml:space="preserve"> </w:t>
      </w:r>
      <w:bookmarkStart w:id="0" w:name="_GoBack"/>
      <w:bookmarkEnd w:id="0"/>
    </w:p>
    <w:p w:rsidR="00A57626" w:rsidRPr="00D3368B" w:rsidRDefault="00A57626" w:rsidP="00A57626">
      <w:pPr>
        <w:rPr>
          <w:lang w:val="cy-GB"/>
        </w:rPr>
      </w:pPr>
    </w:p>
    <w:sectPr w:rsidR="00A57626" w:rsidRPr="00D33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202E0"/>
    <w:multiLevelType w:val="multilevel"/>
    <w:tmpl w:val="EADA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626"/>
    <w:rsid w:val="000A1EDF"/>
    <w:rsid w:val="00166A13"/>
    <w:rsid w:val="002048A1"/>
    <w:rsid w:val="002834C3"/>
    <w:rsid w:val="002B682D"/>
    <w:rsid w:val="002C5F36"/>
    <w:rsid w:val="003409EE"/>
    <w:rsid w:val="00367A81"/>
    <w:rsid w:val="003F309D"/>
    <w:rsid w:val="003F3158"/>
    <w:rsid w:val="005227FE"/>
    <w:rsid w:val="00563587"/>
    <w:rsid w:val="005B489A"/>
    <w:rsid w:val="005C7798"/>
    <w:rsid w:val="00673DAC"/>
    <w:rsid w:val="006E140A"/>
    <w:rsid w:val="007A3EB0"/>
    <w:rsid w:val="008A5E95"/>
    <w:rsid w:val="00901D39"/>
    <w:rsid w:val="00967347"/>
    <w:rsid w:val="009E7200"/>
    <w:rsid w:val="00A57626"/>
    <w:rsid w:val="00A62D5A"/>
    <w:rsid w:val="00B02E69"/>
    <w:rsid w:val="00B54A7A"/>
    <w:rsid w:val="00BA1F6C"/>
    <w:rsid w:val="00CB66DA"/>
    <w:rsid w:val="00D3368B"/>
    <w:rsid w:val="00D4241C"/>
    <w:rsid w:val="00F16EF8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5275"/>
  <w15:docId w15:val="{216D9BD8-1201-423D-AFDC-7BAE1A5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A57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7A3E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next w:val="Normal"/>
    <w:link w:val="TeitlNod"/>
    <w:uiPriority w:val="10"/>
    <w:qFormat/>
    <w:rsid w:val="00A57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A5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ddolen">
    <w:name w:val="Hyperlink"/>
    <w:basedOn w:val="FfontParagraffDdiofyn"/>
    <w:uiPriority w:val="99"/>
    <w:unhideWhenUsed/>
    <w:rsid w:val="00A57626"/>
    <w:rPr>
      <w:color w:val="0563C1" w:themeColor="hyperlink"/>
      <w:u w:val="single"/>
    </w:rPr>
  </w:style>
  <w:style w:type="character" w:customStyle="1" w:styleId="Pennawd1Nod">
    <w:name w:val="Pennawd 1 Nod"/>
    <w:basedOn w:val="FfontParagraffDdiofyn"/>
    <w:link w:val="Pennawd1"/>
    <w:uiPriority w:val="9"/>
    <w:rsid w:val="00A57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">
    <w:name w:val="Table Grid"/>
    <w:basedOn w:val="TablNormal"/>
    <w:uiPriority w:val="39"/>
    <w:rsid w:val="007A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nnawd2Nod">
    <w:name w:val="Pennawd 2 Nod"/>
    <w:basedOn w:val="FfontParagraffDdiofyn"/>
    <w:link w:val="Pennawd2"/>
    <w:uiPriority w:val="9"/>
    <w:rsid w:val="007A3E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3F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3F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products/acrobat/readstep2.html" TargetMode="External"/><Relationship Id="rId13" Type="http://schemas.openxmlformats.org/officeDocument/2006/relationships/hyperlink" Target="http://www.blackboard.com/Teaching-Learning/Learn-Resources/Accessibility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ber.ac.uk/en/media/departmental/informationservices/e-learning/Blackboard-Required-Minimum-Presence-(1)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si/2018/952/introduction/made" TargetMode="External"/><Relationship Id="rId11" Type="http://schemas.openxmlformats.org/officeDocument/2006/relationships/hyperlink" Target="http://www.w3.org/WAI/" TargetMode="External"/><Relationship Id="rId5" Type="http://schemas.openxmlformats.org/officeDocument/2006/relationships/hyperlink" Target="https://help.blackboard.com/Learn/Administrator/Hosting/Accessibilit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ber.ac.uk/en/accessi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en/accessibility/guidance-staff/" TargetMode="External"/><Relationship Id="rId14" Type="http://schemas.openxmlformats.org/officeDocument/2006/relationships/hyperlink" Target="mailto:elearning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Woolley [jbw]</dc:creator>
  <cp:lastModifiedBy>Janet Evans [jme]</cp:lastModifiedBy>
  <cp:revision>20</cp:revision>
  <cp:lastPrinted>2020-01-16T09:59:00Z</cp:lastPrinted>
  <dcterms:created xsi:type="dcterms:W3CDTF">2020-01-16T09:55:00Z</dcterms:created>
  <dcterms:modified xsi:type="dcterms:W3CDTF">2020-01-17T09:28:00Z</dcterms:modified>
</cp:coreProperties>
</file>