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614"/>
        <w:gridCol w:w="467"/>
        <w:gridCol w:w="467"/>
        <w:gridCol w:w="467"/>
        <w:gridCol w:w="7330"/>
        <w:gridCol w:w="423"/>
        <w:gridCol w:w="518"/>
        <w:gridCol w:w="425"/>
      </w:tblGrid>
      <w:tr w:rsidR="00F36D02" w:rsidRPr="00F36D02" w14:paraId="329EF8A0" w14:textId="77777777" w:rsidTr="0069501B">
        <w:trPr>
          <w:trHeight w:val="509"/>
          <w:jc w:val="center"/>
        </w:trPr>
        <w:tc>
          <w:tcPr>
            <w:tcW w:w="6335" w:type="dxa"/>
            <w:gridSpan w:val="5"/>
            <w:vMerge w:val="restart"/>
            <w:shd w:val="clear" w:color="auto" w:fill="auto"/>
            <w:noWrap/>
            <w:hideMark/>
          </w:tcPr>
          <w:p w14:paraId="0DAA9E7D" w14:textId="3AFECAD9" w:rsid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Brief Description of Activity:</w:t>
            </w:r>
          </w:p>
          <w:p w14:paraId="5BB8B91B" w14:textId="77777777" w:rsidR="00D050E3" w:rsidRDefault="00D050E3" w:rsidP="00F36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  <w:p w14:paraId="55E38BE6" w14:textId="31C126D8" w:rsidR="00F06C4F" w:rsidRPr="00D050E3" w:rsidRDefault="00F06C4F" w:rsidP="00976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Driving of University </w:t>
            </w:r>
            <w:r w:rsidR="007A5211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Vehicles or</w:t>
            </w:r>
            <w:r w:rsidR="00723FE5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A5211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driving </w:t>
            </w:r>
            <w:r w:rsidR="00723FE5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on behalf of the University in a personal</w:t>
            </w:r>
            <w:r w:rsidR="00B65384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vehicle as part of work requirements.</w:t>
            </w:r>
          </w:p>
          <w:p w14:paraId="27007D2E" w14:textId="77777777" w:rsidR="00F06C4F" w:rsidRPr="00D050E3" w:rsidRDefault="00F06C4F" w:rsidP="00976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65E456A4" w14:textId="72D2F651" w:rsidR="00723FE5" w:rsidRPr="00D050E3" w:rsidRDefault="00F06C4F" w:rsidP="00976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This Risk Assessment is for the purpose of</w:t>
            </w:r>
            <w:r w:rsidR="00723FE5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2470B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the</w:t>
            </w:r>
            <w:r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driving activity</w:t>
            </w:r>
            <w:r w:rsidR="0062470B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only</w:t>
            </w:r>
            <w:r w:rsidR="00723FE5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2470B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</w:t>
            </w:r>
            <w:r w:rsidR="00723FE5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within</w:t>
            </w:r>
            <w:r w:rsidR="0062470B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23FE5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UK</w:t>
            </w:r>
            <w:r w:rsidR="0062470B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  <w:r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14:paraId="44DF6B93" w14:textId="77777777" w:rsidR="00723FE5" w:rsidRPr="00D050E3" w:rsidRDefault="00723FE5" w:rsidP="00976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1AFC2C18" w14:textId="267E4379" w:rsidR="00723FE5" w:rsidRPr="00D050E3" w:rsidRDefault="00F06C4F" w:rsidP="00976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Any other work-related</w:t>
            </w:r>
            <w:r w:rsidR="00A718C0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activities</w:t>
            </w:r>
            <w:r w:rsidR="00CF3AF1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not limited to</w:t>
            </w:r>
            <w:r w:rsidR="00723FE5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but including the loading of </w:t>
            </w:r>
            <w:r w:rsidR="0062470B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any irregular</w:t>
            </w:r>
            <w:r w:rsidR="001E2349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loads, </w:t>
            </w:r>
            <w:r w:rsidR="00A718C0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driving that is expected in severe weather conditions, journeys that involve lone working in remote areas, trips that involv</w:t>
            </w:r>
            <w:r w:rsidR="007A5211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</w:t>
            </w:r>
            <w:r w:rsidR="00A718C0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driving types of vehicles that are not normally driven,</w:t>
            </w:r>
            <w:r w:rsidR="00C167A8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transport of dangerous goods or animals, and the transporting of passengers </w:t>
            </w:r>
            <w:r w:rsidR="0062470B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must </w:t>
            </w:r>
            <w:r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be </w:t>
            </w:r>
            <w:r w:rsidR="00CF3AF1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assessed </w:t>
            </w:r>
            <w:r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in a separate risk assessment. </w:t>
            </w:r>
          </w:p>
          <w:p w14:paraId="0DA5621D" w14:textId="77777777" w:rsidR="00723FE5" w:rsidRPr="00D050E3" w:rsidRDefault="00723FE5" w:rsidP="00976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2B70CE0A" w14:textId="58A21C38" w:rsidR="009760E6" w:rsidRDefault="00F06C4F" w:rsidP="00976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Any driving activities undertaken outside of the UK </w:t>
            </w:r>
            <w:r w:rsidR="00CF3AF1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must be assessed in separate risk assessment, to include any driving licence</w:t>
            </w:r>
            <w:r w:rsidR="00723FE5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requirements</w:t>
            </w:r>
            <w:r w:rsidR="00CF3AF1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road traffic or vehicle laws </w:t>
            </w:r>
            <w:r w:rsidR="0062470B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related or </w:t>
            </w:r>
            <w:r w:rsidR="00CF3AF1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associated with </w:t>
            </w:r>
            <w:r w:rsidR="0062470B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 particular</w:t>
            </w:r>
            <w:r w:rsidR="00CF3AF1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23FE5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country</w:t>
            </w:r>
            <w:r w:rsidR="00CF3AF1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14:paraId="5E218142" w14:textId="77777777" w:rsidR="00D050E3" w:rsidRPr="00D050E3" w:rsidRDefault="00D050E3" w:rsidP="00976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219D19F8" w14:textId="77777777" w:rsidR="00E34F80" w:rsidRPr="00E34F80" w:rsidRDefault="00E34F80" w:rsidP="00F36D0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30" w:type="dxa"/>
            <w:vMerge w:val="restart"/>
            <w:shd w:val="clear" w:color="auto" w:fill="auto"/>
            <w:noWrap/>
            <w:hideMark/>
          </w:tcPr>
          <w:p w14:paraId="22FA0BBF" w14:textId="77777777" w:rsid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Assessor(s):</w:t>
            </w:r>
          </w:p>
          <w:p w14:paraId="3A3E051A" w14:textId="77777777" w:rsidR="00D050E3" w:rsidRDefault="00D050E3" w:rsidP="00F36D0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</w:p>
          <w:p w14:paraId="6DA17141" w14:textId="29F62D73" w:rsidR="00E34F80" w:rsidRDefault="002577F6" w:rsidP="00F36D0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 xml:space="preserve">Travel and Fleet </w:t>
            </w:r>
            <w:r w:rsidR="00A44AA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Section</w:t>
            </w:r>
          </w:p>
          <w:p w14:paraId="6582C6C4" w14:textId="77777777" w:rsidR="0002128F" w:rsidRPr="00E34F80" w:rsidRDefault="0002128F" w:rsidP="00F36D0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  <w:gridSpan w:val="3"/>
            <w:vMerge w:val="restart"/>
            <w:shd w:val="clear" w:color="auto" w:fill="auto"/>
            <w:noWrap/>
            <w:hideMark/>
          </w:tcPr>
          <w:p w14:paraId="65104CA7" w14:textId="77777777" w:rsid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Date:</w:t>
            </w:r>
          </w:p>
          <w:p w14:paraId="3D59A1BF" w14:textId="569F91AF" w:rsidR="00E34F80" w:rsidRPr="00E34F80" w:rsidRDefault="00C641B4" w:rsidP="00756A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25</w:t>
            </w:r>
            <w:r w:rsidR="002577F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/0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7</w:t>
            </w:r>
            <w:r w:rsidR="002577F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/2022</w:t>
            </w:r>
          </w:p>
        </w:tc>
      </w:tr>
      <w:tr w:rsidR="00F36D02" w:rsidRPr="00F36D02" w14:paraId="118795DC" w14:textId="77777777" w:rsidTr="0069501B">
        <w:trPr>
          <w:trHeight w:val="509"/>
          <w:jc w:val="center"/>
        </w:trPr>
        <w:tc>
          <w:tcPr>
            <w:tcW w:w="6335" w:type="dxa"/>
            <w:gridSpan w:val="5"/>
            <w:vMerge/>
            <w:vAlign w:val="center"/>
            <w:hideMark/>
          </w:tcPr>
          <w:p w14:paraId="17B4DC9B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14:paraId="107FEEEB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366" w:type="dxa"/>
            <w:gridSpan w:val="3"/>
            <w:vMerge/>
            <w:vAlign w:val="center"/>
            <w:hideMark/>
          </w:tcPr>
          <w:p w14:paraId="16FD6139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</w:tr>
      <w:tr w:rsidR="00F36D02" w:rsidRPr="00F36D02" w14:paraId="0F8B486F" w14:textId="77777777" w:rsidTr="0069501B">
        <w:trPr>
          <w:trHeight w:val="509"/>
          <w:jc w:val="center"/>
        </w:trPr>
        <w:tc>
          <w:tcPr>
            <w:tcW w:w="6335" w:type="dxa"/>
            <w:gridSpan w:val="5"/>
            <w:vMerge/>
            <w:vAlign w:val="center"/>
            <w:hideMark/>
          </w:tcPr>
          <w:p w14:paraId="198CDDB5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14:paraId="4C2238DA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366" w:type="dxa"/>
            <w:gridSpan w:val="3"/>
            <w:vMerge/>
            <w:vAlign w:val="center"/>
            <w:hideMark/>
          </w:tcPr>
          <w:p w14:paraId="57EBE3B4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</w:tr>
      <w:tr w:rsidR="00F36D02" w:rsidRPr="00F36D02" w14:paraId="6ABE8480" w14:textId="77777777" w:rsidTr="0069501B">
        <w:trPr>
          <w:trHeight w:val="299"/>
          <w:jc w:val="center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6D668E35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Hazard:</w:t>
            </w:r>
          </w:p>
        </w:tc>
        <w:tc>
          <w:tcPr>
            <w:tcW w:w="2614" w:type="dxa"/>
            <w:shd w:val="clear" w:color="auto" w:fill="auto"/>
            <w:noWrap/>
            <w:vAlign w:val="center"/>
            <w:hideMark/>
          </w:tcPr>
          <w:p w14:paraId="126A76D3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Persons at Risk:</w:t>
            </w:r>
          </w:p>
        </w:tc>
        <w:tc>
          <w:tcPr>
            <w:tcW w:w="1401" w:type="dxa"/>
            <w:gridSpan w:val="3"/>
            <w:shd w:val="clear" w:color="auto" w:fill="auto"/>
            <w:noWrap/>
            <w:vAlign w:val="center"/>
            <w:hideMark/>
          </w:tcPr>
          <w:p w14:paraId="195D41F7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Risk Factor:</w:t>
            </w:r>
          </w:p>
        </w:tc>
        <w:tc>
          <w:tcPr>
            <w:tcW w:w="7330" w:type="dxa"/>
            <w:shd w:val="clear" w:color="auto" w:fill="auto"/>
            <w:noWrap/>
            <w:vAlign w:val="center"/>
            <w:hideMark/>
          </w:tcPr>
          <w:p w14:paraId="29B854E2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Control Measures Required:</w:t>
            </w:r>
          </w:p>
        </w:tc>
        <w:tc>
          <w:tcPr>
            <w:tcW w:w="1366" w:type="dxa"/>
            <w:gridSpan w:val="3"/>
            <w:shd w:val="clear" w:color="auto" w:fill="auto"/>
            <w:noWrap/>
            <w:vAlign w:val="center"/>
            <w:hideMark/>
          </w:tcPr>
          <w:p w14:paraId="1F9D25C4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Residual Risk:</w:t>
            </w:r>
          </w:p>
        </w:tc>
      </w:tr>
      <w:tr w:rsidR="00F36D02" w:rsidRPr="00F36D02" w14:paraId="3EB585F0" w14:textId="77777777" w:rsidTr="0069501B">
        <w:trPr>
          <w:trHeight w:val="509"/>
          <w:jc w:val="center"/>
        </w:trPr>
        <w:tc>
          <w:tcPr>
            <w:tcW w:w="2320" w:type="dxa"/>
            <w:vMerge w:val="restart"/>
            <w:shd w:val="clear" w:color="auto" w:fill="auto"/>
            <w:vAlign w:val="center"/>
            <w:hideMark/>
          </w:tcPr>
          <w:p w14:paraId="29EE1A76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List what could cause harm from this activity, use appendix A to assist in identifying hazards </w:t>
            </w:r>
          </w:p>
        </w:tc>
        <w:tc>
          <w:tcPr>
            <w:tcW w:w="2614" w:type="dxa"/>
            <w:vMerge w:val="restart"/>
            <w:shd w:val="clear" w:color="auto" w:fill="auto"/>
            <w:vAlign w:val="center"/>
            <w:hideMark/>
          </w:tcPr>
          <w:p w14:paraId="2E79F34A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List who might be harmed </w:t>
            </w:r>
            <w:proofErr w:type="gramStart"/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e</w:t>
            </w:r>
            <w:r w:rsidR="004616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.</w:t>
            </w: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g.</w:t>
            </w:r>
            <w:proofErr w:type="gramEnd"/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Staff, students, visitors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  <w:hideMark/>
          </w:tcPr>
          <w:p w14:paraId="1777303B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For each hazard, decide level of risk as if you were to do the activity without controls</w:t>
            </w:r>
          </w:p>
        </w:tc>
        <w:tc>
          <w:tcPr>
            <w:tcW w:w="7330" w:type="dxa"/>
            <w:vMerge w:val="restart"/>
            <w:shd w:val="clear" w:color="auto" w:fill="auto"/>
            <w:vAlign w:val="center"/>
            <w:hideMark/>
          </w:tcPr>
          <w:p w14:paraId="528212D0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For each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hazard, list the measures you will be taking to minimise the risk identified, </w:t>
            </w:r>
            <w:proofErr w:type="gramStart"/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e.g.</w:t>
            </w:r>
            <w:proofErr w:type="gramEnd"/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appointing competent persons, training received, planning and try-outs, use of personal protective equipment</w:t>
            </w:r>
          </w:p>
        </w:tc>
        <w:tc>
          <w:tcPr>
            <w:tcW w:w="1366" w:type="dxa"/>
            <w:gridSpan w:val="3"/>
            <w:vMerge w:val="restart"/>
            <w:shd w:val="clear" w:color="auto" w:fill="auto"/>
            <w:vAlign w:val="center"/>
            <w:hideMark/>
          </w:tcPr>
          <w:p w14:paraId="6318850F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For each hazard now decide the residual risk after the control measures are in place</w:t>
            </w:r>
          </w:p>
        </w:tc>
      </w:tr>
      <w:tr w:rsidR="00F36D02" w:rsidRPr="00F36D02" w14:paraId="4B418277" w14:textId="77777777" w:rsidTr="0069501B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14:paraId="54E01AD5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14:paraId="347244A2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01" w:type="dxa"/>
            <w:gridSpan w:val="3"/>
            <w:vMerge/>
            <w:vAlign w:val="center"/>
            <w:hideMark/>
          </w:tcPr>
          <w:p w14:paraId="1EBFB9DE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14:paraId="3C4A4A46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6" w:type="dxa"/>
            <w:gridSpan w:val="3"/>
            <w:vMerge/>
            <w:vAlign w:val="center"/>
            <w:hideMark/>
          </w:tcPr>
          <w:p w14:paraId="091023FE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36D02" w:rsidRPr="00F36D02" w14:paraId="72569EAA" w14:textId="77777777" w:rsidTr="0069501B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14:paraId="2B36FC1A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14:paraId="7772485C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01" w:type="dxa"/>
            <w:gridSpan w:val="3"/>
            <w:vMerge/>
            <w:vAlign w:val="center"/>
            <w:hideMark/>
          </w:tcPr>
          <w:p w14:paraId="764EE63B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14:paraId="4BE36C87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6" w:type="dxa"/>
            <w:gridSpan w:val="3"/>
            <w:vMerge/>
            <w:vAlign w:val="center"/>
            <w:hideMark/>
          </w:tcPr>
          <w:p w14:paraId="6EC76410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6163E" w:rsidRPr="00F36D02" w14:paraId="1CB10741" w14:textId="77777777" w:rsidTr="0069501B">
        <w:trPr>
          <w:trHeight w:val="839"/>
          <w:jc w:val="center"/>
        </w:trPr>
        <w:tc>
          <w:tcPr>
            <w:tcW w:w="2320" w:type="dxa"/>
            <w:vMerge/>
            <w:vAlign w:val="center"/>
            <w:hideMark/>
          </w:tcPr>
          <w:p w14:paraId="0011CC7C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14:paraId="45DE53BD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14:paraId="7D3F5752" w14:textId="77777777" w:rsidR="00F36D02" w:rsidRPr="00F36D02" w:rsidRDefault="00F36D02" w:rsidP="00F36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Severity</w:t>
            </w: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14:paraId="0205CE38" w14:textId="77777777" w:rsidR="00F36D02" w:rsidRPr="00F36D02" w:rsidRDefault="00F36D02" w:rsidP="00F36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Likelihood</w:t>
            </w: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14:paraId="33C4DD56" w14:textId="77777777" w:rsidR="00F36D02" w:rsidRPr="00F36D02" w:rsidRDefault="00F36D02" w:rsidP="00F36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Risk</w:t>
            </w:r>
          </w:p>
        </w:tc>
        <w:tc>
          <w:tcPr>
            <w:tcW w:w="7330" w:type="dxa"/>
            <w:vMerge/>
            <w:vAlign w:val="center"/>
            <w:hideMark/>
          </w:tcPr>
          <w:p w14:paraId="226BFF6B" w14:textId="77777777" w:rsidR="00F36D02" w:rsidRPr="00F36D02" w:rsidRDefault="00F36D02" w:rsidP="00F36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  <w:hideMark/>
          </w:tcPr>
          <w:p w14:paraId="243267D1" w14:textId="77777777" w:rsidR="00F36D02" w:rsidRPr="00F36D02" w:rsidRDefault="00F36D02" w:rsidP="00F36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Severity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  <w:hideMark/>
          </w:tcPr>
          <w:p w14:paraId="3CC57C64" w14:textId="77777777" w:rsidR="00F36D02" w:rsidRPr="00F36D02" w:rsidRDefault="00F36D02" w:rsidP="00F36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Likelihood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7F41DC65" w14:textId="77777777" w:rsidR="00F36D02" w:rsidRPr="00F36D02" w:rsidRDefault="00F36D02" w:rsidP="00F36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Risk</w:t>
            </w:r>
          </w:p>
        </w:tc>
      </w:tr>
      <w:tr w:rsidR="004E0684" w:rsidRPr="00F36D02" w14:paraId="2F2EDFFB" w14:textId="77777777" w:rsidTr="0069501B">
        <w:trPr>
          <w:trHeight w:val="509"/>
          <w:jc w:val="center"/>
        </w:trPr>
        <w:tc>
          <w:tcPr>
            <w:tcW w:w="2320" w:type="dxa"/>
            <w:vMerge w:val="restart"/>
            <w:noWrap/>
            <w:vAlign w:val="center"/>
          </w:tcPr>
          <w:p w14:paraId="4E700621" w14:textId="26E4357D" w:rsidR="004E0684" w:rsidRPr="00F36D02" w:rsidRDefault="008A4C32" w:rsidP="00307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Driver caus</w:t>
            </w:r>
            <w:r w:rsidR="004042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incident</w:t>
            </w:r>
            <w:r w:rsidR="004042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/ accident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injures themselves, injures a third party and /or causes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damage to third party vehicle or property.</w:t>
            </w:r>
          </w:p>
        </w:tc>
        <w:tc>
          <w:tcPr>
            <w:tcW w:w="2614" w:type="dxa"/>
            <w:vMerge w:val="restart"/>
            <w:noWrap/>
            <w:vAlign w:val="center"/>
          </w:tcPr>
          <w:p w14:paraId="59E2E348" w14:textId="1CCB8691" w:rsidR="004E0684" w:rsidRPr="008A4C32" w:rsidRDefault="008A4C32" w:rsidP="006C0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8A4C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Staff, students, visitors </w:t>
            </w:r>
            <w:r w:rsidR="00536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and any </w:t>
            </w:r>
            <w:r w:rsidRPr="008A4C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members of the general public.</w:t>
            </w:r>
          </w:p>
        </w:tc>
        <w:tc>
          <w:tcPr>
            <w:tcW w:w="467" w:type="dxa"/>
            <w:vMerge w:val="restart"/>
            <w:noWrap/>
            <w:vAlign w:val="center"/>
          </w:tcPr>
          <w:p w14:paraId="70361B38" w14:textId="6986725E" w:rsidR="004E0684" w:rsidRPr="00F36D02" w:rsidRDefault="00980923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  <w:p w14:paraId="66BF19EB" w14:textId="2770F497" w:rsidR="004E0684" w:rsidRPr="00F36D02" w:rsidRDefault="004E0684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 w:val="restart"/>
            <w:noWrap/>
            <w:vAlign w:val="center"/>
          </w:tcPr>
          <w:p w14:paraId="4C523FD6" w14:textId="50E72F5B" w:rsidR="004E0684" w:rsidRPr="00F36D02" w:rsidRDefault="00E06086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  <w:p w14:paraId="0A67CB10" w14:textId="36C10F33" w:rsidR="004E0684" w:rsidRPr="00F36D02" w:rsidRDefault="004E0684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 w:val="restart"/>
            <w:noWrap/>
            <w:vAlign w:val="center"/>
          </w:tcPr>
          <w:p w14:paraId="4AE5E1E1" w14:textId="30D93A4D" w:rsidR="004E0684" w:rsidRPr="00F36D02" w:rsidRDefault="00E06086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  <w:p w14:paraId="70175000" w14:textId="304A8AF1" w:rsidR="004E0684" w:rsidRPr="00F36D02" w:rsidRDefault="004E0684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 w:val="restart"/>
            <w:noWrap/>
            <w:vAlign w:val="center"/>
          </w:tcPr>
          <w:p w14:paraId="3E43DDAC" w14:textId="223500BC" w:rsidR="00A0167D" w:rsidRDefault="00A0167D" w:rsidP="00A016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All drivers to have undertaken </w:t>
            </w:r>
            <w:r w:rsidR="003310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and passed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the ‘Staying safe on the Road’ University e-learning module, read and understood the ‘Driving safely policy’ and are</w:t>
            </w:r>
            <w:r w:rsidR="007A5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current authorised driver registered with the Travel and </w:t>
            </w:r>
            <w:r w:rsidR="00EF62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leet section prior to driving any University vehicles.</w:t>
            </w:r>
          </w:p>
          <w:p w14:paraId="70B4E6FC" w14:textId="04A0E7D3" w:rsidR="00BF1DD3" w:rsidRPr="00A0167D" w:rsidRDefault="00646D44" w:rsidP="00A016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Read and understood the guidelines set out in the driver</w:t>
            </w:r>
            <w:r w:rsidR="003310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’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 handbook.</w:t>
            </w:r>
          </w:p>
          <w:p w14:paraId="26230756" w14:textId="07727854" w:rsidR="004E0684" w:rsidRDefault="008A4C32" w:rsidP="00F825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82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All drivers </w:t>
            </w:r>
            <w:r w:rsidR="00F82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must be competent and hold</w:t>
            </w:r>
            <w:r w:rsidRPr="00F82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 full</w:t>
            </w:r>
            <w:r w:rsidR="00F82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valid</w:t>
            </w:r>
            <w:r w:rsidRPr="00F82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driving licence</w:t>
            </w:r>
            <w:r w:rsidR="00F825AF" w:rsidRPr="00F82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with </w:t>
            </w:r>
            <w:r w:rsidR="00F82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="00F825AF" w:rsidRPr="00F82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correct entitlement</w:t>
            </w:r>
            <w:r w:rsidR="00A016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/s</w:t>
            </w:r>
            <w:r w:rsidR="00F825AF" w:rsidRPr="00F82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to drive the category of vehicle</w:t>
            </w:r>
            <w:r w:rsidR="00F825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at hand.</w:t>
            </w:r>
            <w:r w:rsidR="00BF1D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Any driving licence code</w:t>
            </w:r>
            <w:r w:rsidR="00EF62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/s</w:t>
            </w:r>
            <w:r w:rsidR="00BF1D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imposed on a licence must be always adhered to. </w:t>
            </w:r>
            <w:proofErr w:type="spellStart"/>
            <w:r w:rsidR="00BF1D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E.g</w:t>
            </w:r>
            <w:proofErr w:type="spellEnd"/>
            <w:r w:rsidR="00BF1D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01 -eyesight correction, for example glasses or contact lenses.</w:t>
            </w:r>
          </w:p>
          <w:p w14:paraId="135C495A" w14:textId="11F76D03" w:rsidR="00403E47" w:rsidRDefault="000B4C4A" w:rsidP="00F825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Drivers must notify their</w:t>
            </w:r>
            <w:r w:rsidR="00403E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line manager, if there is a change to licence or anything else that may affect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their</w:t>
            </w:r>
            <w:r w:rsidR="00403E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ability to drive, not limited to, but including eyesight, pending driving convictions, and </w:t>
            </w:r>
            <w:r w:rsidR="00EF62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any </w:t>
            </w:r>
            <w:r w:rsidR="00403E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medical conditions that may affect your ability to drive</w:t>
            </w:r>
            <w:r w:rsidR="00C641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hyperlink r:id="rId11" w:history="1">
              <w:r w:rsidR="00C641B4" w:rsidRPr="001052A4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en-GB"/>
                </w:rPr>
                <w:t>https://www.gov.uk/driving-eyesight-rules</w:t>
              </w:r>
            </w:hyperlink>
          </w:p>
          <w:p w14:paraId="7319EEF7" w14:textId="77777777" w:rsidR="00302455" w:rsidRDefault="00403E47" w:rsidP="00C641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641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Never drive under the influence of drink or drugs</w:t>
            </w:r>
            <w:r w:rsidR="00DB40CB" w:rsidRPr="00C641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(prescription and non-prescription)</w:t>
            </w:r>
            <w:r w:rsidRPr="00C641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 This includes the morning after, as alcohol may still be in your system</w:t>
            </w:r>
            <w:r w:rsidR="00DB40CB" w:rsidRPr="00C641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 Some non-prescription drugs may affect your ability to drive. Always consult your doctor before driving whilst taking prescription drugs</w:t>
            </w:r>
            <w:r w:rsidR="00A87214" w:rsidRPr="00C641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and notify your line manager</w:t>
            </w:r>
            <w:r w:rsidR="00DB40CB" w:rsidRPr="00C641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  <w:r w:rsidR="003024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3488645" w14:textId="5D1AD3AC" w:rsidR="00403E47" w:rsidRDefault="00000000" w:rsidP="00302455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hyperlink r:id="rId12" w:history="1">
              <w:r w:rsidR="00302455" w:rsidRPr="00F21B3F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en-GB"/>
                </w:rPr>
                <w:t>https://www.aber.ac.uk/en/hr/info-staff/employment/drug-alcohol/</w:t>
              </w:r>
            </w:hyperlink>
          </w:p>
          <w:p w14:paraId="2FDB8413" w14:textId="139711A8" w:rsidR="00F825AF" w:rsidRPr="00302455" w:rsidRDefault="00F825AF" w:rsidP="003024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024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Drivers to wear strong, comfortable footwear with a good grip.</w:t>
            </w:r>
            <w:r w:rsidR="00404209" w:rsidRPr="003024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Familiar with the controls of the vehicle and the vehicle handbook. Seat and seat </w:t>
            </w:r>
            <w:r w:rsidR="00EF62CB" w:rsidRPr="003024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head </w:t>
            </w:r>
            <w:r w:rsidR="00404209" w:rsidRPr="003024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rest to be positioned correctly.</w:t>
            </w:r>
          </w:p>
          <w:p w14:paraId="0D9E20C7" w14:textId="4F0EDA8C" w:rsidR="00F825AF" w:rsidRDefault="000B4C4A" w:rsidP="00F825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 Daily</w:t>
            </w:r>
            <w:r w:rsidR="002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vehicle defect check must be carried out by the driver prior to first use. Defects must be reported to line manager, </w:t>
            </w:r>
            <w:r w:rsidR="004042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any</w:t>
            </w:r>
            <w:r w:rsidR="002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defects must be rectified before</w:t>
            </w:r>
            <w:r w:rsidR="004042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the vehicle is used</w:t>
            </w:r>
            <w:r w:rsidR="002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Vehicle must </w:t>
            </w:r>
            <w:r w:rsidR="00EF62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be always roadworthy</w:t>
            </w:r>
            <w:r w:rsidR="002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If a defect happens mid journey, stop and notify </w:t>
            </w:r>
            <w:r w:rsidR="00EF62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your </w:t>
            </w:r>
            <w:r w:rsidR="002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 manager.</w:t>
            </w:r>
          </w:p>
          <w:p w14:paraId="57940FDC" w14:textId="49418BCB" w:rsidR="000B4C4A" w:rsidRDefault="000B4C4A" w:rsidP="00F825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The driver and any passengers must wear a seat belt on any journey, regardless of the distance.</w:t>
            </w:r>
          </w:p>
          <w:p w14:paraId="729CCCF9" w14:textId="0F27E67F" w:rsidR="000B4C4A" w:rsidRDefault="000B4C4A" w:rsidP="00F825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Drivers must adhere to the </w:t>
            </w:r>
            <w:r w:rsidR="00EF62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ighways </w:t>
            </w:r>
            <w:r w:rsidR="00EF62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ode and drive in accordance </w:t>
            </w:r>
            <w:proofErr w:type="gramStart"/>
            <w:r w:rsidR="00EF62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</w:t>
            </w:r>
            <w:proofErr w:type="gramEnd"/>
            <w:r w:rsidR="00EF62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="003310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oad </w:t>
            </w:r>
            <w:r w:rsidR="003310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raffic </w:t>
            </w:r>
            <w:r w:rsidR="003310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ct 19</w:t>
            </w:r>
            <w:r w:rsidR="003310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14:paraId="629DDC4C" w14:textId="7A9A6D59" w:rsidR="000B4C4A" w:rsidRDefault="000B4C4A" w:rsidP="00F825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All vehicles must have valid MOT and tax.</w:t>
            </w:r>
            <w:r w:rsidR="003310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3" w:history="1">
              <w:r w:rsidR="00331076">
                <w:rPr>
                  <w:rStyle w:val="Hyperlink"/>
                </w:rPr>
                <w:t>Check if a vehicle is taxed - GOV.UK (www.gov.uk)</w:t>
              </w:r>
            </w:hyperlink>
          </w:p>
          <w:p w14:paraId="4E58A2BA" w14:textId="609BAF9B" w:rsidR="00233E6B" w:rsidRDefault="00233E6B" w:rsidP="00F825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Use of </w:t>
            </w:r>
            <w:r w:rsidR="000C51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 mobile telephone or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C51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interactive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communication device is not permitted</w:t>
            </w:r>
            <w:r w:rsidR="002904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whilst driving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 for the use of receiving or making of telephone calls, messaging purposes or accessing applications</w:t>
            </w:r>
            <w:r w:rsidR="003310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whilst driving</w:t>
            </w:r>
            <w:r w:rsidR="002904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 Unless</w:t>
            </w:r>
            <w:r w:rsidR="006247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it is </w:t>
            </w:r>
            <w:r w:rsidR="002904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 call</w:t>
            </w:r>
            <w:r w:rsidR="006247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emergency services by calling 999 or </w:t>
            </w:r>
            <w:r w:rsidR="00F717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112 and</w:t>
            </w:r>
            <w:r w:rsidR="002904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is unsafe or impractical to stop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  <w:r w:rsidR="002904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507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Engine and ignition must be switched off and keys </w:t>
            </w:r>
            <w:r w:rsidR="000C51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removed and</w:t>
            </w:r>
            <w:r w:rsidR="00E507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parked in a safe place to make </w:t>
            </w:r>
            <w:r w:rsidR="00EF62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or receive a call, sent message or access an application.</w:t>
            </w:r>
            <w:r w:rsidR="00E507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C51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The only exemption, in which a driver is not in contravention</w:t>
            </w:r>
            <w:r w:rsidR="009948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of the </w:t>
            </w:r>
            <w:r w:rsidR="009948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regulations relating to</w:t>
            </w:r>
            <w:r w:rsidR="00F529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948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use, is whereby the hand-held mobile telephone or interactive communication device is being used to make a contactless payment at a contactless payment terminal</w:t>
            </w:r>
            <w:r w:rsidR="00F529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whilst the vehicle is stationary</w:t>
            </w:r>
            <w:r w:rsidR="009948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14:paraId="49A371A1" w14:textId="29BEE0AF" w:rsidR="00BB1B28" w:rsidRDefault="00BB1B28" w:rsidP="00F825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Drivers must take regular breaks, </w:t>
            </w:r>
            <w:r w:rsidR="00403E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stop and pull over in a safe place,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if feeling unwell or tired.</w:t>
            </w:r>
            <w:r w:rsidR="00CB3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Notify your line manager if you feel tired or unwell.</w:t>
            </w:r>
          </w:p>
          <w:p w14:paraId="1CE3F239" w14:textId="77777777" w:rsidR="00BB1B28" w:rsidRDefault="00BB1B28" w:rsidP="00F825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Keys are to be removed from ignition, when exiting the vehicle. </w:t>
            </w:r>
            <w:r w:rsidR="00CB3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ever </w:t>
            </w:r>
            <w:r w:rsidR="00CB3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leave a vehicle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unattended with keys in</w:t>
            </w:r>
            <w:r w:rsidR="00CB3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side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 Always ensure the handbrake is applied fully</w:t>
            </w:r>
            <w:r w:rsidR="00CB3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all windows are shut, and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lock the vehicle when leaving the vehicle.</w:t>
            </w:r>
          </w:p>
          <w:p w14:paraId="65E92F5C" w14:textId="2B571675" w:rsidR="00BC2DA0" w:rsidRDefault="00CB33F2" w:rsidP="00BC2D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Always plan your journey in advance, plan your route</w:t>
            </w:r>
            <w:r w:rsidR="00FA4C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on google maps or AA planner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with </w:t>
            </w:r>
            <w:r w:rsidR="00FA4C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regular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stops</w:t>
            </w:r>
            <w:r w:rsidR="002B1F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B1F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llow for breaks, possible delays and check the weather condition</w:t>
            </w:r>
            <w:r w:rsidR="00FA4C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</w:t>
            </w:r>
            <w:r w:rsidR="002B1F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before departing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  <w:r w:rsidR="003310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Pack warm clothes, blanket,</w:t>
            </w:r>
            <w:r w:rsidR="002B1F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torch,</w:t>
            </w:r>
            <w:r w:rsidR="003310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some food provisions and always carry a charged mobile phone on </w:t>
            </w:r>
            <w:r w:rsidR="003775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cold or wet days</w:t>
            </w:r>
            <w:r w:rsidR="002B1F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r w:rsidR="00536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Be mindful that w</w:t>
            </w:r>
            <w:r w:rsidR="002B1F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eather conditions may</w:t>
            </w:r>
            <w:r w:rsidR="00536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and can</w:t>
            </w:r>
            <w:r w:rsidR="002B1F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change dramatically </w:t>
            </w:r>
            <w:r w:rsidR="00536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very quickly</w:t>
            </w:r>
            <w:r w:rsidR="002B1F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  <w:r w:rsidR="00BC2D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Ensure the vehicle has sufficient fuel </w:t>
            </w:r>
            <w:r w:rsidR="00536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or electric charge </w:t>
            </w:r>
            <w:r w:rsidR="00BC2D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for the journey required.</w:t>
            </w:r>
          </w:p>
          <w:p w14:paraId="3266C317" w14:textId="7F721EC2" w:rsidR="00BD29EE" w:rsidRPr="00147C5F" w:rsidRDefault="00BD29EE" w:rsidP="00D86B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47C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When planning your journey, always consider driving time into your daily work</w:t>
            </w:r>
            <w:r w:rsidR="00147C5F" w:rsidRPr="00147C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ing</w:t>
            </w:r>
            <w:r w:rsidRPr="00147C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time. </w:t>
            </w:r>
            <w:r w:rsidR="00147C5F" w:rsidRPr="00147C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You must always adhere and comply with the working time directive</w:t>
            </w:r>
            <w:r w:rsidRPr="00147C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r w:rsidR="00D86B82" w:rsidRPr="00147C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Consider</w:t>
            </w:r>
            <w:r w:rsidR="00147C5F" w:rsidRPr="00147C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</w:t>
            </w:r>
            <w:r w:rsidR="00D86B82" w:rsidRPr="00147C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47C5F" w:rsidRPr="00147C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whether there are </w:t>
            </w:r>
            <w:r w:rsidR="00D86B82" w:rsidRPr="00147C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alternatives</w:t>
            </w:r>
            <w:r w:rsidR="00147C5F" w:rsidRPr="00147C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to driving long and regular journeys in a week.</w:t>
            </w:r>
            <w:r w:rsidR="00D86B82" w:rsidRPr="00147C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47C5F" w:rsidRPr="00147C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</w:t>
            </w:r>
            <w:r w:rsidR="00D86B82" w:rsidRPr="00147C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ublic transport or </w:t>
            </w:r>
            <w:r w:rsidR="008B45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an </w:t>
            </w:r>
            <w:r w:rsidR="008B45B0" w:rsidRPr="00147C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overnight stay</w:t>
            </w:r>
            <w:r w:rsidR="00D86B82" w:rsidRPr="00147C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where possible.</w:t>
            </w:r>
          </w:p>
          <w:p w14:paraId="6B944AF9" w14:textId="77777777" w:rsidR="004A1DAD" w:rsidRDefault="002B1FFF" w:rsidP="00A016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 the event of a breakdown or accident, remain with the vehicle if safe to do so</w:t>
            </w:r>
            <w:r w:rsidR="005B4E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 If the vehicle is parked in a dangerous position notify the police</w:t>
            </w:r>
            <w:r w:rsidR="001E23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immediately</w:t>
            </w:r>
            <w:r w:rsidR="005B4E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to attend. When safe</w:t>
            </w:r>
            <w:r w:rsidR="001E23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and reasonable, request for breakdown to attend and notify your line manager.</w:t>
            </w:r>
            <w:r w:rsidR="005B4E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274D2881" w14:textId="20CFE4E5" w:rsidR="005367D7" w:rsidRPr="00F825AF" w:rsidRDefault="005367D7" w:rsidP="00A016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Vehicle loads must be secure and not overload the vehicle. Overloading a vehicle can affect the safety and performance of the vehicle. In particular, handling, steering and braking (</w:t>
            </w:r>
            <w:r w:rsidR="00944EC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stopping distance)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of the vehicle. </w:t>
            </w:r>
          </w:p>
        </w:tc>
        <w:tc>
          <w:tcPr>
            <w:tcW w:w="423" w:type="dxa"/>
            <w:vMerge w:val="restart"/>
            <w:noWrap/>
            <w:vAlign w:val="center"/>
          </w:tcPr>
          <w:p w14:paraId="5617B6C7" w14:textId="45F3701F" w:rsidR="004E0684" w:rsidRPr="00F36D02" w:rsidRDefault="00980923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lastRenderedPageBreak/>
              <w:t>5</w:t>
            </w:r>
          </w:p>
          <w:p w14:paraId="66CBC8EE" w14:textId="636D8003" w:rsidR="004E0684" w:rsidRPr="00F36D02" w:rsidRDefault="004E0684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861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noWrap/>
            <w:vAlign w:val="center"/>
          </w:tcPr>
          <w:p w14:paraId="32E84E18" w14:textId="4123F295" w:rsidR="004E0684" w:rsidRPr="00F36D02" w:rsidRDefault="00980923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  <w:p w14:paraId="1508BD52" w14:textId="7AD4F11E" w:rsidR="004E0684" w:rsidRPr="00F36D02" w:rsidRDefault="004E0684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14:paraId="0B53BB06" w14:textId="1B1E0264" w:rsidR="004E0684" w:rsidRPr="00F36D02" w:rsidRDefault="00980923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  <w:p w14:paraId="263A8C8E" w14:textId="5632F9AB" w:rsidR="004E0684" w:rsidRPr="00F36D02" w:rsidRDefault="004E0684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E0684" w:rsidRPr="00F36D02" w14:paraId="6C3F52CD" w14:textId="77777777" w:rsidTr="0069501B">
        <w:trPr>
          <w:trHeight w:val="509"/>
          <w:jc w:val="center"/>
        </w:trPr>
        <w:tc>
          <w:tcPr>
            <w:tcW w:w="2320" w:type="dxa"/>
            <w:vMerge/>
            <w:shd w:val="clear" w:color="auto" w:fill="auto"/>
          </w:tcPr>
          <w:p w14:paraId="34536318" w14:textId="77777777" w:rsidR="004E0684" w:rsidRPr="00F36D02" w:rsidRDefault="004E0684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14:paraId="7E0D716C" w14:textId="77777777" w:rsidR="004E0684" w:rsidRPr="00F36D02" w:rsidRDefault="004E0684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shd w:val="clear" w:color="auto" w:fill="auto"/>
          </w:tcPr>
          <w:p w14:paraId="64C5370A" w14:textId="77777777" w:rsidR="004E0684" w:rsidRPr="00F36D02" w:rsidRDefault="004E0684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shd w:val="clear" w:color="auto" w:fill="auto"/>
          </w:tcPr>
          <w:p w14:paraId="7CDD6FBE" w14:textId="77777777" w:rsidR="004E0684" w:rsidRPr="00F36D02" w:rsidRDefault="004E0684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shd w:val="clear" w:color="auto" w:fill="auto"/>
          </w:tcPr>
          <w:p w14:paraId="5614C88E" w14:textId="77777777" w:rsidR="004E0684" w:rsidRPr="00F36D02" w:rsidRDefault="004E0684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shd w:val="clear" w:color="auto" w:fill="auto"/>
          </w:tcPr>
          <w:p w14:paraId="765EC53A" w14:textId="77777777" w:rsidR="004E0684" w:rsidRPr="00F36D02" w:rsidRDefault="004E0684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shd w:val="clear" w:color="auto" w:fill="auto"/>
          </w:tcPr>
          <w:p w14:paraId="2CC13383" w14:textId="77777777" w:rsidR="004E0684" w:rsidRPr="00F36D02" w:rsidRDefault="004E0684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shd w:val="clear" w:color="auto" w:fill="auto"/>
          </w:tcPr>
          <w:p w14:paraId="0AE202BB" w14:textId="77777777" w:rsidR="004E0684" w:rsidRPr="00F36D02" w:rsidRDefault="004E0684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B8F871E" w14:textId="77777777" w:rsidR="004E0684" w:rsidRPr="00F36D02" w:rsidRDefault="004E0684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56AAB" w:rsidRPr="00F36D02" w14:paraId="297F572C" w14:textId="77777777" w:rsidTr="0069501B">
        <w:trPr>
          <w:trHeight w:val="509"/>
          <w:jc w:val="center"/>
        </w:trPr>
        <w:tc>
          <w:tcPr>
            <w:tcW w:w="2320" w:type="dxa"/>
            <w:vMerge/>
            <w:vAlign w:val="center"/>
          </w:tcPr>
          <w:p w14:paraId="5458788F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</w:tcPr>
          <w:p w14:paraId="6115E9FA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</w:tcPr>
          <w:p w14:paraId="20BE0878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</w:tcPr>
          <w:p w14:paraId="3557A59B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</w:tcPr>
          <w:p w14:paraId="7E79061E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</w:tcPr>
          <w:p w14:paraId="03ECB2CD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</w:tcPr>
          <w:p w14:paraId="2A94065D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</w:tcPr>
          <w:p w14:paraId="0BC4F7DA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</w:tcPr>
          <w:p w14:paraId="1E652669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56AAB" w:rsidRPr="00F36D02" w14:paraId="26BFE484" w14:textId="77777777" w:rsidTr="0069501B">
        <w:trPr>
          <w:trHeight w:val="509"/>
          <w:jc w:val="center"/>
        </w:trPr>
        <w:tc>
          <w:tcPr>
            <w:tcW w:w="2320" w:type="dxa"/>
            <w:vMerge/>
            <w:shd w:val="clear" w:color="auto" w:fill="auto"/>
          </w:tcPr>
          <w:p w14:paraId="15400256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14:paraId="53A65E6E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shd w:val="clear" w:color="auto" w:fill="auto"/>
          </w:tcPr>
          <w:p w14:paraId="30817CDA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shd w:val="clear" w:color="auto" w:fill="auto"/>
          </w:tcPr>
          <w:p w14:paraId="729F7755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</w:tcPr>
          <w:p w14:paraId="6AB1E44C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</w:tcPr>
          <w:p w14:paraId="45903185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</w:tcPr>
          <w:p w14:paraId="47C88319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</w:tcPr>
          <w:p w14:paraId="725A305E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</w:tcPr>
          <w:p w14:paraId="08FE81A2" w14:textId="77777777" w:rsidR="00756AAB" w:rsidRPr="00F36D02" w:rsidRDefault="00756AAB" w:rsidP="00F5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AAE6C6E" w14:textId="77777777" w:rsidR="0095446C" w:rsidRDefault="00000000"/>
    <w:p w14:paraId="00826E96" w14:textId="77777777" w:rsidR="0069501B" w:rsidRDefault="0069501B">
      <w:pPr>
        <w:rPr>
          <w:rFonts w:ascii="Arial" w:eastAsia="Times New Roman" w:hAnsi="Arial" w:cs="Times New Roman"/>
          <w:b/>
          <w:bCs/>
          <w:szCs w:val="20"/>
        </w:rPr>
      </w:pPr>
      <w:r>
        <w:rPr>
          <w:rFonts w:ascii="Arial" w:eastAsia="Times New Roman" w:hAnsi="Arial" w:cs="Times New Roman"/>
          <w:b/>
          <w:bCs/>
          <w:szCs w:val="20"/>
        </w:rPr>
        <w:br w:type="page"/>
      </w:r>
    </w:p>
    <w:p w14:paraId="26D933EE" w14:textId="77777777" w:rsidR="005557C6" w:rsidRPr="005557C6" w:rsidRDefault="005557C6" w:rsidP="005557C6">
      <w:pPr>
        <w:spacing w:after="0" w:line="240" w:lineRule="auto"/>
        <w:rPr>
          <w:rFonts w:ascii="Arial" w:eastAsia="Times New Roman" w:hAnsi="Arial" w:cs="Times New Roman"/>
          <w:b/>
          <w:bCs/>
          <w:szCs w:val="20"/>
        </w:rPr>
      </w:pPr>
      <w:r w:rsidRPr="005557C6">
        <w:rPr>
          <w:rFonts w:ascii="Arial" w:eastAsia="Times New Roman" w:hAnsi="Arial" w:cs="Times New Roman"/>
          <w:b/>
          <w:bCs/>
          <w:szCs w:val="20"/>
        </w:rPr>
        <w:lastRenderedPageBreak/>
        <w:t>Appendix A</w:t>
      </w:r>
    </w:p>
    <w:tbl>
      <w:tblPr>
        <w:tblW w:w="10800" w:type="dxa"/>
        <w:jc w:val="center"/>
        <w:tblBorders>
          <w:top w:val="doub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40"/>
        <w:gridCol w:w="3240"/>
        <w:gridCol w:w="540"/>
        <w:gridCol w:w="3060"/>
        <w:gridCol w:w="720"/>
      </w:tblGrid>
      <w:tr w:rsidR="005557C6" w:rsidRPr="005557C6" w14:paraId="147E08CF" w14:textId="77777777" w:rsidTr="005557C6">
        <w:trPr>
          <w:jc w:val="center"/>
        </w:trPr>
        <w:tc>
          <w:tcPr>
            <w:tcW w:w="10800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14:paraId="75A9F738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20"/>
                <w:szCs w:val="20"/>
                <w:lang w:eastAsia="zh-CN"/>
              </w:rPr>
              <w:t>Hazard list</w:t>
            </w:r>
            <w:r w:rsidRPr="005557C6"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  <w:t xml:space="preserve"> – Use this table to help you identify hazards, you may think of others not on this list, use these to complete the risk assessment form</w:t>
            </w:r>
          </w:p>
        </w:tc>
      </w:tr>
      <w:tr w:rsidR="005557C6" w:rsidRPr="005557C6" w14:paraId="2679D5CF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99"/>
          </w:tcPr>
          <w:p w14:paraId="4224A6D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Situational hazards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14:paraId="132093E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Tick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63D758B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Physical / chemical hazards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</w:tcPr>
          <w:p w14:paraId="5774379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Tick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2086133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Health hazards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99"/>
          </w:tcPr>
          <w:p w14:paraId="529B2F7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Tick</w:t>
            </w:r>
          </w:p>
        </w:tc>
      </w:tr>
      <w:tr w:rsidR="005557C6" w:rsidRPr="005557C6" w14:paraId="32116BE7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B0C224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Assault by person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B8C64A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23FE002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cold liquid / vapour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257EB4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1EA9F5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Disease causative agent</w:t>
            </w:r>
          </w:p>
        </w:tc>
        <w:tc>
          <w:tcPr>
            <w:tcW w:w="720" w:type="dxa"/>
            <w:shd w:val="clear" w:color="auto" w:fill="auto"/>
          </w:tcPr>
          <w:p w14:paraId="00F0D46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513ED9D3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16559C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Attacked by animal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831287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60EAACE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cold surface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5F913C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F78BA0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Infection</w:t>
            </w:r>
          </w:p>
        </w:tc>
        <w:tc>
          <w:tcPr>
            <w:tcW w:w="720" w:type="dxa"/>
            <w:shd w:val="clear" w:color="auto" w:fill="auto"/>
          </w:tcPr>
          <w:p w14:paraId="35852DE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612D95C0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37447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Breathing compressed gas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A4BBBF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3676C81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hot liquid / vapour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5E6567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7090241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Lack of food / water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4C47E4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68A2226B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CD6E1C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Cold environment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AA0993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E237C0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hot surface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0258C06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1D8FB7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Lack of oxygen</w:t>
            </w:r>
          </w:p>
        </w:tc>
        <w:tc>
          <w:tcPr>
            <w:tcW w:w="720" w:type="dxa"/>
            <w:shd w:val="clear" w:color="auto" w:fill="auto"/>
          </w:tcPr>
          <w:p w14:paraId="1C32EC5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3FB5973C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F0F480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Crush by load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84AF04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DF00B4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Electric shock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CECE9C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7D1221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Physical fatigue</w:t>
            </w:r>
          </w:p>
        </w:tc>
        <w:tc>
          <w:tcPr>
            <w:tcW w:w="720" w:type="dxa"/>
            <w:shd w:val="clear" w:color="auto" w:fill="auto"/>
          </w:tcPr>
          <w:p w14:paraId="4D15283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0EDC2821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477A1E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Drowning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C8BE5B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DF8E83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Explosive blast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60F233B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46B6DF3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Repetitive action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09E958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4B832B7D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EFC2EA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Entanglement in moving machinery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96FDD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A94B89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Explosive release of stored pressure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06791A2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6EEDC3C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Static body posture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27B9EA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52068752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2282FA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High atmospheric pressure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B9F4C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AF197C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Fire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11593B7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274BDDB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Stress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4865F6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2031DB91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F8248A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Hot environment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291B4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8088E58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Hazardous substance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5B49A31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3303142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Venom poisoning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82A0C98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4942A002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3C113E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Intimidation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266B8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9F7DA4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Ionising radiation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047CE30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1D6CB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1E069A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5557C6" w:rsidRPr="005557C6" w14:paraId="53F810C2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C01534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Manual handling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E5A45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9DF532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Laser light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078526F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1A3526C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Environmental hazards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99"/>
          </w:tcPr>
          <w:p w14:paraId="041C7D1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5557C6" w:rsidRPr="005557C6" w14:paraId="792D93B0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EA7B2C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Object falling, moving or flying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283318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E0FAD6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Lightning strike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6A7D474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325360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Litter</w:t>
            </w:r>
          </w:p>
        </w:tc>
        <w:tc>
          <w:tcPr>
            <w:tcW w:w="720" w:type="dxa"/>
            <w:shd w:val="clear" w:color="auto" w:fill="auto"/>
          </w:tcPr>
          <w:p w14:paraId="2595A6D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0C6E5DE2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487B92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Obstruction / exposed feature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5D5F9E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CE2229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Noise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4A55A96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3500D1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Nuisance noise / vibration</w:t>
            </w:r>
          </w:p>
        </w:tc>
        <w:tc>
          <w:tcPr>
            <w:tcW w:w="720" w:type="dxa"/>
            <w:shd w:val="clear" w:color="auto" w:fill="auto"/>
          </w:tcPr>
          <w:p w14:paraId="4112E1D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544D330D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1144EB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Sharp object / material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31D85E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1EA5945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Non-ionising radiation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1392BF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958065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Physical damage</w:t>
            </w:r>
          </w:p>
        </w:tc>
        <w:tc>
          <w:tcPr>
            <w:tcW w:w="720" w:type="dxa"/>
            <w:shd w:val="clear" w:color="auto" w:fill="auto"/>
          </w:tcPr>
          <w:p w14:paraId="60F93AA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1EF4E51C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0AC4DA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Shot by firearm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2B773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788CB9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Stroboscopic light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05F69D6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101011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Waste substance released into air</w:t>
            </w:r>
          </w:p>
        </w:tc>
        <w:tc>
          <w:tcPr>
            <w:tcW w:w="720" w:type="dxa"/>
            <w:shd w:val="clear" w:color="auto" w:fill="auto"/>
          </w:tcPr>
          <w:p w14:paraId="7E946BB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0440287F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4061B7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Slippery surface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57A7B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C95C3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Vibration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E369D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C5F6DD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Waste substance released into soil / water</w:t>
            </w:r>
          </w:p>
        </w:tc>
        <w:tc>
          <w:tcPr>
            <w:tcW w:w="720" w:type="dxa"/>
            <w:shd w:val="clear" w:color="auto" w:fill="auto"/>
          </w:tcPr>
          <w:p w14:paraId="24058EB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4F50266D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C5E3DD8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Trap in moving machinery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67759A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B7B29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4A160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23CE57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14:paraId="353BB9B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</w:tr>
      <w:tr w:rsidR="005557C6" w:rsidRPr="005557C6" w14:paraId="48384742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0DEFCF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Trip hazard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9C442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26EEBE78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Managerial / organisational hazards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</w:tcPr>
          <w:p w14:paraId="300DCD9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C943AE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14:paraId="7DA5444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5557C6" w:rsidRPr="005557C6" w14:paraId="037E1689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7A2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Vehicle impact / collision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E424F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06A3368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Management factors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42C7F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FD340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5C0E0D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5557C6" w:rsidRPr="005557C6" w14:paraId="27D9DE3A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733407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Working at height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43BEB2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29B8B7D8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E71A54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58DF278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3FD4F5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</w:tbl>
    <w:p w14:paraId="6C2F2930" w14:textId="77777777" w:rsidR="005557C6" w:rsidRPr="005557C6" w:rsidRDefault="005557C6" w:rsidP="005557C6">
      <w:pPr>
        <w:spacing w:after="0" w:line="240" w:lineRule="auto"/>
        <w:rPr>
          <w:rFonts w:ascii="Arial" w:eastAsia="Times New Roman" w:hAnsi="Arial" w:cs="Times New Roman"/>
          <w:b/>
          <w:bCs/>
          <w:szCs w:val="20"/>
        </w:rPr>
      </w:pPr>
      <w:r w:rsidRPr="005557C6">
        <w:rPr>
          <w:rFonts w:ascii="Arial" w:eastAsia="Times New Roman" w:hAnsi="Arial" w:cs="Times New Roman"/>
          <w:b/>
          <w:bCs/>
          <w:szCs w:val="20"/>
        </w:rPr>
        <w:t>Appendix B</w:t>
      </w:r>
    </w:p>
    <w:tbl>
      <w:tblPr>
        <w:tblpPr w:leftFromText="180" w:rightFromText="180" w:vertAnchor="text" w:tblpY="1"/>
        <w:tblOverlap w:val="never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676"/>
        <w:gridCol w:w="1555"/>
        <w:gridCol w:w="1477"/>
        <w:gridCol w:w="1412"/>
        <w:gridCol w:w="1465"/>
      </w:tblGrid>
      <w:tr w:rsidR="005557C6" w:rsidRPr="005557C6" w14:paraId="1CB8BECF" w14:textId="77777777" w:rsidTr="005557C6"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84C19A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2"/>
                <w:szCs w:val="12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Risk matrix</w:t>
            </w:r>
            <w:r w:rsidRPr="005557C6">
              <w:rPr>
                <w:rFonts w:ascii="Arial" w:eastAsia="SimSun" w:hAnsi="Arial" w:cs="Arial"/>
                <w:b/>
                <w:bCs/>
                <w:sz w:val="12"/>
                <w:szCs w:val="12"/>
                <w:lang w:eastAsia="zh-CN"/>
              </w:rPr>
              <w:t xml:space="preserve"> –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 xml:space="preserve">use this to determine risk for each hazard </w:t>
            </w:r>
            <w:proofErr w:type="gramStart"/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i.e.</w:t>
            </w:r>
            <w:proofErr w:type="gramEnd"/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 xml:space="preserve"> ‘how bad and how likely’</w:t>
            </w:r>
          </w:p>
        </w:tc>
        <w:tc>
          <w:tcPr>
            <w:tcW w:w="758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805E2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</w:p>
          <w:p w14:paraId="39A8D32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Likelihood of Harm</w:t>
            </w:r>
          </w:p>
        </w:tc>
      </w:tr>
      <w:tr w:rsidR="005557C6" w:rsidRPr="005557C6" w14:paraId="194C69E6" w14:textId="77777777" w:rsidTr="00AD2FB7"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67CBD8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</w:p>
          <w:p w14:paraId="2A80A67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Severity of Harm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E6E6E6"/>
          </w:tcPr>
          <w:p w14:paraId="247EC76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Very Unlikely (1)</w:t>
            </w:r>
          </w:p>
          <w:p w14:paraId="2EB549C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E6E6E6"/>
          </w:tcPr>
          <w:p w14:paraId="7BDD604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U</w:t>
            </w: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nlikely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(2)</w:t>
            </w:r>
          </w:p>
          <w:p w14:paraId="76C3EBC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E6E6E6"/>
          </w:tcPr>
          <w:p w14:paraId="5538CC3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Fairly Likely (3)</w:t>
            </w:r>
          </w:p>
          <w:p w14:paraId="7EFE55B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6E6E6"/>
          </w:tcPr>
          <w:p w14:paraId="7E2BD048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Likely (4)</w:t>
            </w:r>
          </w:p>
          <w:p w14:paraId="71E242F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1030758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Very </w:t>
            </w: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Likely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(5)</w:t>
            </w:r>
          </w:p>
          <w:p w14:paraId="2E193D2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</w:tr>
      <w:tr w:rsidR="005557C6" w:rsidRPr="005557C6" w14:paraId="4E83E6ED" w14:textId="77777777" w:rsidTr="00AD2FB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14:paraId="238756C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Negligible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(1</w:t>
            </w:r>
            <w:proofErr w:type="gramStart"/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 </w:t>
            </w:r>
            <w:r w:rsidRPr="005557C6">
              <w:rPr>
                <w:rFonts w:ascii="Arial" w:eastAsia="SimSun" w:hAnsi="Arial" w:cs="Arial"/>
                <w:bCs/>
                <w:sz w:val="14"/>
                <w:szCs w:val="14"/>
                <w:lang w:eastAsia="zh-CN"/>
              </w:rPr>
              <w:t>e.g.</w:t>
            </w:r>
            <w:proofErr w:type="gramEnd"/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small bruise</w:t>
            </w:r>
          </w:p>
        </w:tc>
        <w:tc>
          <w:tcPr>
            <w:tcW w:w="1676" w:type="dxa"/>
            <w:shd w:val="clear" w:color="auto" w:fill="00B050"/>
          </w:tcPr>
          <w:p w14:paraId="1A18C8F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00B050"/>
          </w:tcPr>
          <w:p w14:paraId="43E1855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2D050"/>
          </w:tcPr>
          <w:p w14:paraId="3DC43E0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92D050"/>
          </w:tcPr>
          <w:p w14:paraId="2C8B947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14:paraId="01CA71FF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5</w:t>
            </w:r>
          </w:p>
        </w:tc>
      </w:tr>
      <w:tr w:rsidR="005557C6" w:rsidRPr="005557C6" w14:paraId="34EDBAAC" w14:textId="77777777" w:rsidTr="00AD2FB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14:paraId="353F012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Slight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(2</w:t>
            </w:r>
            <w:proofErr w:type="gramStart"/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e.g.</w:t>
            </w:r>
            <w:proofErr w:type="gramEnd"/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 xml:space="preserve"> small cut, deep bruise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00B050"/>
          </w:tcPr>
          <w:p w14:paraId="4D1BBA4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14:paraId="3BC583A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2D050"/>
          </w:tcPr>
          <w:p w14:paraId="2358FD1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14:paraId="27F2C15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14:paraId="26EEDF00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10</w:t>
            </w:r>
          </w:p>
        </w:tc>
      </w:tr>
      <w:tr w:rsidR="005557C6" w:rsidRPr="005557C6" w14:paraId="2D740900" w14:textId="77777777" w:rsidTr="00AD2FB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14:paraId="1F1F30C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Moderate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(3</w:t>
            </w:r>
            <w:proofErr w:type="gramStart"/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e.g.</w:t>
            </w:r>
            <w:proofErr w:type="gramEnd"/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 xml:space="preserve"> deep cut, torn muscle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92D050"/>
          </w:tcPr>
          <w:p w14:paraId="0A9E0E8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14:paraId="6CA0A75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00"/>
          </w:tcPr>
          <w:p w14:paraId="6A407AF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14:paraId="46BA1EC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</w:tcPr>
          <w:p w14:paraId="6D3BE2AD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15</w:t>
            </w:r>
          </w:p>
        </w:tc>
      </w:tr>
      <w:tr w:rsidR="005557C6" w:rsidRPr="005557C6" w14:paraId="18CE14A1" w14:textId="77777777" w:rsidTr="00AD2FB7"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578A0C1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Severe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(4</w:t>
            </w:r>
            <w:proofErr w:type="gramStart"/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 xml:space="preserve">  e.g.</w:t>
            </w:r>
            <w:proofErr w:type="gramEnd"/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 xml:space="preserve"> fracture, loss of consciousness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92D050"/>
          </w:tcPr>
          <w:p w14:paraId="65FF501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00"/>
          </w:tcPr>
          <w:p w14:paraId="0EB1160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00"/>
          </w:tcPr>
          <w:p w14:paraId="3AA67B1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1FCDAAFB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0000"/>
          </w:tcPr>
          <w:p w14:paraId="30250F70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20</w:t>
            </w:r>
          </w:p>
        </w:tc>
      </w:tr>
      <w:tr w:rsidR="005557C6" w:rsidRPr="005557C6" w14:paraId="59407F67" w14:textId="77777777" w:rsidTr="00AD2FB7"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34FA2F4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lastRenderedPageBreak/>
              <w:t>Very Severe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(5)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 xml:space="preserve"> </w:t>
            </w:r>
            <w:proofErr w:type="gramStart"/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e.g.</w:t>
            </w:r>
            <w:proofErr w:type="gramEnd"/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 xml:space="preserve"> death, permanent disability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92D050"/>
          </w:tcPr>
          <w:p w14:paraId="7CF4282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FFFF00"/>
          </w:tcPr>
          <w:p w14:paraId="3DB65CC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shd w:val="clear" w:color="auto" w:fill="E36C0A" w:themeFill="accent6" w:themeFillShade="BF"/>
          </w:tcPr>
          <w:p w14:paraId="18131A7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FF0000"/>
          </w:tcPr>
          <w:p w14:paraId="2FEBE41C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20</w:t>
            </w: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14:paraId="079AD094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25</w:t>
            </w:r>
          </w:p>
        </w:tc>
      </w:tr>
    </w:tbl>
    <w:p w14:paraId="1A6470C1" w14:textId="77777777" w:rsidR="005557C6" w:rsidRPr="005557C6" w:rsidRDefault="005557C6" w:rsidP="005557C6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1A4669E4" w14:textId="77777777" w:rsidR="00572F7F" w:rsidRPr="005557C6" w:rsidRDefault="005557C6" w:rsidP="005557C6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5557C6">
        <w:rPr>
          <w:noProof/>
          <w:lang w:eastAsia="en-GB"/>
        </w:rPr>
        <w:drawing>
          <wp:inline distT="0" distB="0" distL="0" distR="0" wp14:anchorId="1A591823" wp14:editId="66FFB50E">
            <wp:extent cx="3057525" cy="1438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F7F" w:rsidRPr="005557C6" w:rsidSect="00AD2F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53C5" w14:textId="77777777" w:rsidR="00D943B2" w:rsidRDefault="00D943B2" w:rsidP="00F36D02">
      <w:pPr>
        <w:spacing w:after="0" w:line="240" w:lineRule="auto"/>
      </w:pPr>
      <w:r>
        <w:separator/>
      </w:r>
    </w:p>
  </w:endnote>
  <w:endnote w:type="continuationSeparator" w:id="0">
    <w:p w14:paraId="75E4E4B6" w14:textId="77777777" w:rsidR="00D943B2" w:rsidRDefault="00D943B2" w:rsidP="00F3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A8DE" w14:textId="77777777" w:rsidR="00787C97" w:rsidRDefault="00787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6BA3" w14:textId="77777777" w:rsidR="00787C97" w:rsidRDefault="00787C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EEB4" w14:textId="77777777" w:rsidR="00787C97" w:rsidRDefault="00787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9992" w14:textId="77777777" w:rsidR="00D943B2" w:rsidRDefault="00D943B2" w:rsidP="00F36D02">
      <w:pPr>
        <w:spacing w:after="0" w:line="240" w:lineRule="auto"/>
      </w:pPr>
      <w:r>
        <w:separator/>
      </w:r>
    </w:p>
  </w:footnote>
  <w:footnote w:type="continuationSeparator" w:id="0">
    <w:p w14:paraId="68B69053" w14:textId="77777777" w:rsidR="00D943B2" w:rsidRDefault="00D943B2" w:rsidP="00F3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339A" w14:textId="77777777" w:rsidR="00787C97" w:rsidRDefault="00787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D7D8" w14:textId="51CFEF5A" w:rsidR="00F36D02" w:rsidRDefault="00F36D02">
    <w:pPr>
      <w:pStyle w:val="Header"/>
    </w:pPr>
    <w:r>
      <w:rPr>
        <w:noProof/>
        <w:lang w:eastAsia="en-GB"/>
      </w:rPr>
      <w:drawing>
        <wp:inline distT="0" distB="0" distL="0" distR="0" wp14:anchorId="3CCB88DC" wp14:editId="674E4599">
          <wp:extent cx="9734550" cy="913134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0" cy="913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8A17" w14:textId="77777777" w:rsidR="00787C97" w:rsidRDefault="00787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5C19"/>
    <w:multiLevelType w:val="hybridMultilevel"/>
    <w:tmpl w:val="F4761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5287"/>
    <w:multiLevelType w:val="hybridMultilevel"/>
    <w:tmpl w:val="7214F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9647A"/>
    <w:multiLevelType w:val="hybridMultilevel"/>
    <w:tmpl w:val="BC02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059E6"/>
    <w:multiLevelType w:val="hybridMultilevel"/>
    <w:tmpl w:val="06D09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A34BE"/>
    <w:multiLevelType w:val="hybridMultilevel"/>
    <w:tmpl w:val="20861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024819">
    <w:abstractNumId w:val="4"/>
  </w:num>
  <w:num w:numId="2" w16cid:durableId="2091265265">
    <w:abstractNumId w:val="2"/>
  </w:num>
  <w:num w:numId="3" w16cid:durableId="1960454827">
    <w:abstractNumId w:val="2"/>
  </w:num>
  <w:num w:numId="4" w16cid:durableId="1516533535">
    <w:abstractNumId w:val="0"/>
  </w:num>
  <w:num w:numId="5" w16cid:durableId="1976712595">
    <w:abstractNumId w:val="1"/>
  </w:num>
  <w:num w:numId="6" w16cid:durableId="990447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02"/>
    <w:rsid w:val="00007623"/>
    <w:rsid w:val="0002128F"/>
    <w:rsid w:val="00022F95"/>
    <w:rsid w:val="000545F7"/>
    <w:rsid w:val="0008105A"/>
    <w:rsid w:val="000B4C4A"/>
    <w:rsid w:val="000C517E"/>
    <w:rsid w:val="000E3186"/>
    <w:rsid w:val="00126E6A"/>
    <w:rsid w:val="001352EA"/>
    <w:rsid w:val="00147C5F"/>
    <w:rsid w:val="0017673B"/>
    <w:rsid w:val="001E2349"/>
    <w:rsid w:val="00233E6B"/>
    <w:rsid w:val="002441D4"/>
    <w:rsid w:val="002577F6"/>
    <w:rsid w:val="002904EC"/>
    <w:rsid w:val="002B1FFF"/>
    <w:rsid w:val="00302455"/>
    <w:rsid w:val="00303C7A"/>
    <w:rsid w:val="003078CD"/>
    <w:rsid w:val="00311562"/>
    <w:rsid w:val="00331076"/>
    <w:rsid w:val="003461D2"/>
    <w:rsid w:val="003775E4"/>
    <w:rsid w:val="003A02E3"/>
    <w:rsid w:val="003B34CB"/>
    <w:rsid w:val="003E5AE0"/>
    <w:rsid w:val="00403E47"/>
    <w:rsid w:val="00404209"/>
    <w:rsid w:val="00405705"/>
    <w:rsid w:val="00433301"/>
    <w:rsid w:val="0046163E"/>
    <w:rsid w:val="004833C8"/>
    <w:rsid w:val="004A1DAD"/>
    <w:rsid w:val="004D42DA"/>
    <w:rsid w:val="004E0684"/>
    <w:rsid w:val="004E68DF"/>
    <w:rsid w:val="005367D7"/>
    <w:rsid w:val="005557C6"/>
    <w:rsid w:val="00572F7F"/>
    <w:rsid w:val="005B0490"/>
    <w:rsid w:val="005B4E52"/>
    <w:rsid w:val="005D197B"/>
    <w:rsid w:val="0062470B"/>
    <w:rsid w:val="006327BE"/>
    <w:rsid w:val="00646D44"/>
    <w:rsid w:val="006617A6"/>
    <w:rsid w:val="0069501B"/>
    <w:rsid w:val="006C0A25"/>
    <w:rsid w:val="006F6287"/>
    <w:rsid w:val="00700E21"/>
    <w:rsid w:val="007219DD"/>
    <w:rsid w:val="00723FE5"/>
    <w:rsid w:val="0073094A"/>
    <w:rsid w:val="00756AAB"/>
    <w:rsid w:val="00765F3E"/>
    <w:rsid w:val="00787C97"/>
    <w:rsid w:val="007A5211"/>
    <w:rsid w:val="0088617E"/>
    <w:rsid w:val="008A4C32"/>
    <w:rsid w:val="008B45B0"/>
    <w:rsid w:val="00913126"/>
    <w:rsid w:val="0092757B"/>
    <w:rsid w:val="00944EC7"/>
    <w:rsid w:val="009760E6"/>
    <w:rsid w:val="00980923"/>
    <w:rsid w:val="00994884"/>
    <w:rsid w:val="009C6DB9"/>
    <w:rsid w:val="009E274F"/>
    <w:rsid w:val="00A0167D"/>
    <w:rsid w:val="00A0419C"/>
    <w:rsid w:val="00A44AA6"/>
    <w:rsid w:val="00A60101"/>
    <w:rsid w:val="00A718C0"/>
    <w:rsid w:val="00A87214"/>
    <w:rsid w:val="00A95CD6"/>
    <w:rsid w:val="00AC69D7"/>
    <w:rsid w:val="00AD2FB7"/>
    <w:rsid w:val="00AD3918"/>
    <w:rsid w:val="00AF160F"/>
    <w:rsid w:val="00B5657B"/>
    <w:rsid w:val="00B65384"/>
    <w:rsid w:val="00BB1B28"/>
    <w:rsid w:val="00BC2DA0"/>
    <w:rsid w:val="00BC73B9"/>
    <w:rsid w:val="00BD29EE"/>
    <w:rsid w:val="00BF1DD3"/>
    <w:rsid w:val="00C167A8"/>
    <w:rsid w:val="00C23FEC"/>
    <w:rsid w:val="00C54313"/>
    <w:rsid w:val="00C641B4"/>
    <w:rsid w:val="00CB33F2"/>
    <w:rsid w:val="00CE3B12"/>
    <w:rsid w:val="00CF3AF1"/>
    <w:rsid w:val="00D050E3"/>
    <w:rsid w:val="00D83789"/>
    <w:rsid w:val="00D84D61"/>
    <w:rsid w:val="00D86B82"/>
    <w:rsid w:val="00D943B2"/>
    <w:rsid w:val="00DB40CB"/>
    <w:rsid w:val="00E06086"/>
    <w:rsid w:val="00E34F80"/>
    <w:rsid w:val="00E50730"/>
    <w:rsid w:val="00E82C86"/>
    <w:rsid w:val="00EC0723"/>
    <w:rsid w:val="00ED20A9"/>
    <w:rsid w:val="00EF62CB"/>
    <w:rsid w:val="00F032CC"/>
    <w:rsid w:val="00F06C4F"/>
    <w:rsid w:val="00F15AA1"/>
    <w:rsid w:val="00F20FB7"/>
    <w:rsid w:val="00F36D02"/>
    <w:rsid w:val="00F52911"/>
    <w:rsid w:val="00F52964"/>
    <w:rsid w:val="00F7174E"/>
    <w:rsid w:val="00F825AF"/>
    <w:rsid w:val="00FA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738B5"/>
  <w15:docId w15:val="{ADAD8F5A-EC97-4D17-92B0-310AF1B2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D02"/>
  </w:style>
  <w:style w:type="paragraph" w:styleId="Footer">
    <w:name w:val="footer"/>
    <w:basedOn w:val="Normal"/>
    <w:link w:val="FooterChar"/>
    <w:uiPriority w:val="99"/>
    <w:unhideWhenUsed/>
    <w:rsid w:val="00F3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D02"/>
  </w:style>
  <w:style w:type="character" w:styleId="Hyperlink">
    <w:name w:val="Hyperlink"/>
    <w:basedOn w:val="DefaultParagraphFont"/>
    <w:uiPriority w:val="99"/>
    <w:unhideWhenUsed/>
    <w:rsid w:val="00F529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2E3"/>
    <w:pPr>
      <w:ind w:left="720"/>
      <w:contextualSpacing/>
    </w:pPr>
  </w:style>
  <w:style w:type="paragraph" w:styleId="Revision">
    <w:name w:val="Revision"/>
    <w:hidden/>
    <w:uiPriority w:val="99"/>
    <w:semiHidden/>
    <w:rsid w:val="009C6DB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E3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check-vehicle-ta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ber.ac.uk/en/hr/info-staff/employment/drug-alcoho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driving-eyesight-rul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7F6AAD376A84CB0B1666004E9AAE6" ma:contentTypeVersion="4" ma:contentTypeDescription="Create a new document." ma:contentTypeScope="" ma:versionID="aa04b9367748d8d1d1d69b07be3d88ea">
  <xsd:schema xmlns:xsd="http://www.w3.org/2001/XMLSchema" xmlns:xs="http://www.w3.org/2001/XMLSchema" xmlns:p="http://schemas.microsoft.com/office/2006/metadata/properties" xmlns:ns2="2117342c-2c3b-4fa1-933a-c8e77945d005" targetNamespace="http://schemas.microsoft.com/office/2006/metadata/properties" ma:root="true" ma:fieldsID="c5cc9356175ecf5ee5cb524c41bdb000" ns2:_="">
    <xsd:import namespace="2117342c-2c3b-4fa1-933a-c8e77945d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7342c-2c3b-4fa1-933a-c8e77945d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AD0CF-8E8E-4D63-8CA1-FFAB8C4C6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0F488-3BCB-4B23-8AA2-6301404B1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8747F-4569-4F2E-90BE-7FFAA661E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7342c-2c3b-4fa1-933a-c8e77945d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CD8A4-1F86-414E-9EA1-D73377D24D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Rhodri Gravell [rhg4]</dc:creator>
  <cp:lastModifiedBy>Kayleigh Davis [kad57] (Staff)</cp:lastModifiedBy>
  <cp:revision>2</cp:revision>
  <cp:lastPrinted>2016-07-05T14:02:00Z</cp:lastPrinted>
  <dcterms:created xsi:type="dcterms:W3CDTF">2023-02-15T13:59:00Z</dcterms:created>
  <dcterms:modified xsi:type="dcterms:W3CDTF">2023-02-15T13:59:00Z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0x0101009467F6AAD376A84CB0B1666004E9AAE6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2022-04-05T10:26:48Z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7146af93-7d99-484a-8560-833b0c52a21e</vt:lpwstr>
  </property>
  <property fmtid="{D5CDD505-2E9C-101B-9397-08002B2CF9AE}" pid="9" name="MSIP_Label_f2dfecbd-fc97-4e8a-a9cd-19ed496c406e_ContentBits">
    <vt:lpwstr>0</vt:lpwstr>
  </property>
</Properties>
</file>