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6A4B" w14:textId="77777777" w:rsidR="00695299" w:rsidRDefault="00695299" w:rsidP="00695299">
      <w:pPr>
        <w:tabs>
          <w:tab w:val="left" w:pos="709"/>
        </w:tabs>
        <w:ind w:left="426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3531E">
        <w:rPr>
          <w:rFonts w:ascii="Arial" w:hAnsi="Arial" w:cs="Arial"/>
          <w:noProof/>
        </w:rPr>
        <w:drawing>
          <wp:inline distT="0" distB="0" distL="0" distR="0" wp14:anchorId="7584C9ED" wp14:editId="02437406">
            <wp:extent cx="2428875" cy="609600"/>
            <wp:effectExtent l="0" t="0" r="952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E99EA" w14:textId="77777777" w:rsidR="00695299" w:rsidRDefault="00695299" w:rsidP="00695299">
      <w:pPr>
        <w:tabs>
          <w:tab w:val="left" w:pos="709"/>
        </w:tabs>
        <w:ind w:left="426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14:paraId="6AC3513D" w14:textId="77777777" w:rsidR="00695299" w:rsidRPr="001F3401" w:rsidRDefault="00695299" w:rsidP="00695299">
      <w:pPr>
        <w:spacing w:line="256" w:lineRule="auto"/>
        <w:jc w:val="center"/>
        <w:rPr>
          <w:rFonts w:ascii="Arial" w:hAnsi="Arial" w:cs="Arial"/>
          <w:b/>
          <w:bCs/>
          <w:lang w:val="en-US"/>
        </w:rPr>
      </w:pPr>
      <w:r w:rsidRPr="001F3401">
        <w:rPr>
          <w:rFonts w:ascii="Arial" w:hAnsi="Arial" w:cs="Arial"/>
          <w:b/>
          <w:bCs/>
          <w:lang w:val="en-US"/>
        </w:rPr>
        <w:t>GWEITHDREFNAU ARIANNOL</w:t>
      </w:r>
    </w:p>
    <w:p w14:paraId="621089F1" w14:textId="77777777" w:rsidR="00695299" w:rsidRPr="001F3401" w:rsidRDefault="00695299" w:rsidP="00695299">
      <w:pPr>
        <w:spacing w:line="256" w:lineRule="auto"/>
        <w:jc w:val="center"/>
        <w:rPr>
          <w:rFonts w:ascii="Arial" w:hAnsi="Arial" w:cs="Arial"/>
          <w:b/>
          <w:bCs/>
          <w:lang w:val="en-US"/>
        </w:rPr>
      </w:pPr>
    </w:p>
    <w:p w14:paraId="2F88DB43" w14:textId="77777777" w:rsidR="00695299" w:rsidRPr="001F3401" w:rsidRDefault="00695299" w:rsidP="00695299">
      <w:pPr>
        <w:spacing w:after="0" w:line="256" w:lineRule="auto"/>
        <w:rPr>
          <w:rFonts w:ascii="Arial" w:hAnsi="Arial" w:cs="Arial"/>
          <w:b/>
          <w:bCs/>
          <w:u w:val="single"/>
          <w:lang w:val="en-US"/>
        </w:rPr>
      </w:pPr>
      <w:r w:rsidRPr="001F3401">
        <w:rPr>
          <w:rFonts w:ascii="Arial" w:hAnsi="Arial" w:cs="Arial"/>
          <w:b/>
          <w:bCs/>
          <w:u w:val="single"/>
          <w:lang w:val="en-US"/>
        </w:rPr>
        <w:t>Adran 0</w:t>
      </w:r>
      <w:r>
        <w:rPr>
          <w:rFonts w:ascii="Arial" w:hAnsi="Arial" w:cs="Arial"/>
          <w:b/>
          <w:bCs/>
          <w:u w:val="single"/>
          <w:lang w:val="en-US"/>
        </w:rPr>
        <w:t>7 – Gwyngalchu Arian</w:t>
      </w:r>
    </w:p>
    <w:p w14:paraId="305064B8" w14:textId="4A3C1EF0" w:rsidR="00695299" w:rsidRPr="001F3401" w:rsidRDefault="00695299" w:rsidP="00695299">
      <w:pPr>
        <w:spacing w:after="0" w:line="256" w:lineRule="auto"/>
        <w:rPr>
          <w:rFonts w:ascii="Arial" w:hAnsi="Arial" w:cs="Arial"/>
          <w:lang w:val="en-US"/>
        </w:rPr>
      </w:pPr>
      <w:r w:rsidRPr="001F3401">
        <w:rPr>
          <w:rFonts w:ascii="Arial" w:hAnsi="Arial" w:cs="Arial"/>
          <w:b/>
          <w:bCs/>
          <w:lang w:val="en-US"/>
        </w:rPr>
        <w:t>Corff Cymeradwyo:</w:t>
      </w:r>
      <w:r w:rsidRPr="001F3401">
        <w:rPr>
          <w:rFonts w:ascii="Arial" w:hAnsi="Arial" w:cs="Arial"/>
          <w:lang w:val="en-US"/>
        </w:rPr>
        <w:tab/>
      </w:r>
      <w:r w:rsidRPr="001F3401">
        <w:rPr>
          <w:rFonts w:ascii="Arial" w:hAnsi="Arial" w:cs="Arial"/>
          <w:lang w:val="en-US"/>
        </w:rPr>
        <w:tab/>
      </w:r>
      <w:r w:rsidRPr="001F3401">
        <w:rPr>
          <w:rFonts w:ascii="Arial" w:hAnsi="Arial" w:cs="Arial"/>
          <w:lang w:val="en-US"/>
        </w:rPr>
        <w:tab/>
      </w:r>
      <w:r w:rsidR="00EB4B77">
        <w:rPr>
          <w:rFonts w:ascii="Arial" w:hAnsi="Arial" w:cs="Arial"/>
        </w:rPr>
        <w:t>Y Pwyllgor Adnoddau a Pherfformiad</w:t>
      </w:r>
    </w:p>
    <w:p w14:paraId="1734B658" w14:textId="77777777" w:rsidR="00695299" w:rsidRPr="001F3401" w:rsidRDefault="00695299" w:rsidP="00695299">
      <w:pPr>
        <w:spacing w:after="0" w:line="256" w:lineRule="auto"/>
        <w:rPr>
          <w:rFonts w:ascii="Arial" w:hAnsi="Arial" w:cs="Arial"/>
          <w:lang w:val="en-US"/>
        </w:rPr>
      </w:pPr>
      <w:r w:rsidRPr="001F3401">
        <w:rPr>
          <w:rFonts w:ascii="Arial" w:hAnsi="Arial" w:cs="Arial"/>
          <w:b/>
          <w:bCs/>
          <w:lang w:val="en-US"/>
        </w:rPr>
        <w:t>Dyddiadd Cymeradwyo:</w:t>
      </w:r>
      <w:r w:rsidRPr="001F3401">
        <w:rPr>
          <w:rFonts w:ascii="Arial" w:hAnsi="Arial" w:cs="Arial"/>
          <w:lang w:val="en-US"/>
        </w:rPr>
        <w:tab/>
      </w:r>
      <w:r w:rsidRPr="001F3401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Chwefror</w:t>
      </w:r>
      <w:r w:rsidRPr="001F3401">
        <w:rPr>
          <w:rFonts w:ascii="Arial" w:hAnsi="Arial" w:cs="Arial"/>
          <w:lang w:val="en-US"/>
        </w:rPr>
        <w:t xml:space="preserve"> 2021</w:t>
      </w:r>
    </w:p>
    <w:p w14:paraId="5C441D17" w14:textId="77777777" w:rsidR="00695299" w:rsidRPr="001F3401" w:rsidRDefault="00695299" w:rsidP="00695299">
      <w:pPr>
        <w:spacing w:after="0" w:line="256" w:lineRule="auto"/>
        <w:rPr>
          <w:rFonts w:ascii="Arial" w:hAnsi="Arial" w:cs="Arial"/>
          <w:lang w:val="en-US"/>
        </w:rPr>
      </w:pPr>
      <w:r w:rsidRPr="001F3401">
        <w:rPr>
          <w:rFonts w:ascii="Arial" w:hAnsi="Arial" w:cs="Arial"/>
          <w:b/>
          <w:bCs/>
          <w:lang w:val="en-US"/>
        </w:rPr>
        <w:t>Perchennog y Polisi:</w:t>
      </w:r>
      <w:r w:rsidRPr="001F3401">
        <w:rPr>
          <w:rFonts w:ascii="Arial" w:hAnsi="Arial" w:cs="Arial"/>
          <w:lang w:val="en-US"/>
        </w:rPr>
        <w:tab/>
      </w:r>
      <w:r w:rsidRPr="001F3401">
        <w:rPr>
          <w:rFonts w:ascii="Arial" w:hAnsi="Arial" w:cs="Arial"/>
          <w:lang w:val="en-US"/>
        </w:rPr>
        <w:tab/>
        <w:t xml:space="preserve">Rheolaeth Cyllid </w:t>
      </w:r>
    </w:p>
    <w:p w14:paraId="3C1CF45D" w14:textId="77777777" w:rsidR="00695299" w:rsidRPr="001F3401" w:rsidRDefault="00695299" w:rsidP="00695299">
      <w:pPr>
        <w:spacing w:after="0" w:line="256" w:lineRule="auto"/>
        <w:rPr>
          <w:rFonts w:ascii="Arial" w:hAnsi="Arial" w:cs="Arial"/>
          <w:lang w:val="en-US"/>
        </w:rPr>
      </w:pPr>
      <w:r w:rsidRPr="001F3401">
        <w:rPr>
          <w:rFonts w:ascii="Arial" w:hAnsi="Arial" w:cs="Arial"/>
          <w:b/>
          <w:bCs/>
          <w:lang w:val="en-US"/>
        </w:rPr>
        <w:t>Dyddiad Adolygu Diwethaf:</w:t>
      </w:r>
      <w:r w:rsidRPr="001F3401">
        <w:rPr>
          <w:rFonts w:ascii="Arial" w:hAnsi="Arial" w:cs="Arial"/>
          <w:lang w:val="en-US"/>
        </w:rPr>
        <w:tab/>
      </w:r>
      <w:r w:rsidRPr="001F3401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Chwefror </w:t>
      </w:r>
      <w:r w:rsidRPr="001F3401">
        <w:rPr>
          <w:rFonts w:ascii="Arial" w:hAnsi="Arial" w:cs="Arial"/>
          <w:lang w:val="en-US"/>
        </w:rPr>
        <w:t>2021</w:t>
      </w:r>
    </w:p>
    <w:p w14:paraId="3DD77B09" w14:textId="4DF5FC5E" w:rsidR="00695299" w:rsidRPr="001F3401" w:rsidRDefault="00695299" w:rsidP="00695299">
      <w:pPr>
        <w:spacing w:after="0" w:line="256" w:lineRule="auto"/>
        <w:rPr>
          <w:rFonts w:ascii="Arial" w:hAnsi="Arial" w:cs="Arial"/>
          <w:lang w:val="en-US"/>
        </w:rPr>
      </w:pPr>
      <w:r w:rsidRPr="001F3401">
        <w:rPr>
          <w:rFonts w:ascii="Arial" w:hAnsi="Arial" w:cs="Arial"/>
          <w:b/>
          <w:bCs/>
          <w:lang w:val="en-US"/>
        </w:rPr>
        <w:t>Dyddiad Adolygu Nesaf:</w:t>
      </w:r>
      <w:r w:rsidRPr="001F3401">
        <w:rPr>
          <w:rFonts w:ascii="Arial" w:hAnsi="Arial" w:cs="Arial"/>
          <w:lang w:val="en-US"/>
        </w:rPr>
        <w:tab/>
      </w:r>
      <w:r w:rsidRPr="001F3401">
        <w:rPr>
          <w:rFonts w:ascii="Arial" w:hAnsi="Arial" w:cs="Arial"/>
          <w:lang w:val="en-US"/>
        </w:rPr>
        <w:tab/>
      </w:r>
      <w:r w:rsidR="00EB4B77">
        <w:rPr>
          <w:rFonts w:ascii="Arial" w:hAnsi="Arial" w:cs="Arial"/>
          <w:lang w:val="en-US"/>
        </w:rPr>
        <w:t>Medi</w:t>
      </w:r>
      <w:r w:rsidRPr="001F3401">
        <w:rPr>
          <w:rFonts w:ascii="Arial" w:hAnsi="Arial" w:cs="Arial"/>
          <w:lang w:val="en-US"/>
        </w:rPr>
        <w:t xml:space="preserve"> 2022</w:t>
      </w:r>
    </w:p>
    <w:p w14:paraId="0E97EDA7" w14:textId="77777777" w:rsidR="00695299" w:rsidRPr="001F3401" w:rsidRDefault="00695299" w:rsidP="00695299">
      <w:pPr>
        <w:rPr>
          <w:rFonts w:ascii="Arial" w:hAnsi="Arial" w:cs="Arial"/>
        </w:rPr>
      </w:pPr>
    </w:p>
    <w:p w14:paraId="310F575A" w14:textId="77777777" w:rsidR="00B34C90" w:rsidRDefault="00B34C90" w:rsidP="00B34C90">
      <w:pPr>
        <w:tabs>
          <w:tab w:val="left" w:pos="709"/>
        </w:tabs>
        <w:ind w:left="426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14:paraId="3496E446" w14:textId="77777777" w:rsidR="00B34C90" w:rsidRDefault="00B34C90" w:rsidP="00B34C90"/>
    <w:p w14:paraId="27D26988" w14:textId="77777777" w:rsidR="00B34C90" w:rsidRDefault="00B34C90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553A1E5D" w14:textId="77777777" w:rsidR="00B34C90" w:rsidRDefault="00B34C90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22F8F93D" w14:textId="77777777" w:rsidR="00B34C90" w:rsidRDefault="00B34C90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3E6E2272" w14:textId="70C6C572" w:rsidR="00B34C90" w:rsidRDefault="00B34C90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14919A42" w14:textId="30D7997D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5A281D23" w14:textId="4FF2A18E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2A2C9642" w14:textId="0B8D3B5F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442B5360" w14:textId="4D2A55A1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6C23CD77" w14:textId="348E2F1D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4DB24021" w14:textId="4A530E99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6F63F0E6" w14:textId="681DA848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54CDAE64" w14:textId="71A8232B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5A5A1797" w14:textId="4D47D625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57EF1E8F" w14:textId="0B743AFB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0507594C" w14:textId="05F96F3C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4D2D143B" w14:textId="556E078E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7924B08B" w14:textId="0F95BC29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7E602784" w14:textId="49D8DCC0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1F999DE0" w14:textId="634A51F8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35378EC1" w14:textId="2F6C5F07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6B864C02" w14:textId="77777777" w:rsidR="00695299" w:rsidRDefault="00695299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1634491C" w14:textId="77777777" w:rsidR="00B34C90" w:rsidRDefault="00B34C90" w:rsidP="00AA0B11">
      <w:pPr>
        <w:jc w:val="center"/>
        <w:rPr>
          <w:rFonts w:ascii="Arial" w:eastAsia="Calibri" w:hAnsi="Arial" w:cs="Arial"/>
          <w:b/>
          <w:bCs/>
          <w:lang w:val="en-US"/>
        </w:rPr>
      </w:pPr>
    </w:p>
    <w:p w14:paraId="3144C92A" w14:textId="222C3D31" w:rsidR="004B3A46" w:rsidRPr="003B02FB" w:rsidRDefault="00AC674D" w:rsidP="00AA0B11">
      <w:pPr>
        <w:jc w:val="center"/>
        <w:rPr>
          <w:rFonts w:ascii="Arial" w:eastAsia="Calibri" w:hAnsi="Arial" w:cs="Arial"/>
          <w:b/>
          <w:bCs/>
          <w:lang w:val="en-US"/>
        </w:rPr>
      </w:pPr>
      <w:r w:rsidRPr="003B02FB">
        <w:rPr>
          <w:rFonts w:ascii="Arial" w:eastAsia="Calibri" w:hAnsi="Arial" w:cs="Arial"/>
          <w:b/>
          <w:bCs/>
          <w:lang w:val="en-US"/>
        </w:rPr>
        <w:t>Adran 7: Gwyngalchu Arian</w:t>
      </w:r>
    </w:p>
    <w:p w14:paraId="692269BA" w14:textId="5C42035E" w:rsidR="00AC674D" w:rsidRPr="003B02FB" w:rsidRDefault="00AC674D">
      <w:pPr>
        <w:rPr>
          <w:rFonts w:ascii="Arial" w:eastAsia="Calibri" w:hAnsi="Arial" w:cs="Arial"/>
          <w:b/>
          <w:bCs/>
          <w:color w:val="4472C4" w:themeColor="accent1"/>
          <w:lang w:val="en-US"/>
        </w:rPr>
      </w:pPr>
      <w:r w:rsidRPr="003B02FB">
        <w:rPr>
          <w:rFonts w:ascii="Arial" w:eastAsia="Calibri" w:hAnsi="Arial" w:cs="Arial"/>
          <w:b/>
          <w:bCs/>
          <w:color w:val="4472C4" w:themeColor="accent1"/>
          <w:lang w:val="en-US"/>
        </w:rPr>
        <w:t>7. Adran 7: Gwyngalchu Arian</w:t>
      </w:r>
    </w:p>
    <w:p w14:paraId="6B880EED" w14:textId="5A067FE4" w:rsidR="00AC674D" w:rsidRPr="003B02FB" w:rsidRDefault="00AC674D" w:rsidP="003B02FB">
      <w:pPr>
        <w:ind w:left="720" w:hanging="7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3B02FB">
        <w:rPr>
          <w:rFonts w:ascii="Arial" w:eastAsia="Calibri" w:hAnsi="Arial" w:cs="Arial"/>
          <w:sz w:val="20"/>
          <w:szCs w:val="20"/>
          <w:lang w:val="en-US"/>
        </w:rPr>
        <w:t xml:space="preserve">7.1. </w:t>
      </w:r>
      <w:r w:rsidR="00354742" w:rsidRPr="003B02FB">
        <w:rPr>
          <w:rFonts w:ascii="Arial" w:eastAsia="Calibri" w:hAnsi="Arial" w:cs="Arial"/>
          <w:sz w:val="20"/>
          <w:szCs w:val="20"/>
          <w:lang w:val="en-US"/>
        </w:rPr>
        <w:tab/>
      </w:r>
      <w:r w:rsidRPr="003B02FB">
        <w:rPr>
          <w:rFonts w:ascii="Arial" w:eastAsia="Calibri" w:hAnsi="Arial" w:cs="Arial"/>
          <w:sz w:val="20"/>
          <w:szCs w:val="20"/>
          <w:lang w:val="en-US"/>
        </w:rPr>
        <w:t>Rhaid i'r Brifysgol gydymffurfio bob amser â Deddf Elw Trosedd</w:t>
      </w:r>
      <w:r w:rsidR="00F10471" w:rsidRPr="003B02FB">
        <w:rPr>
          <w:rFonts w:ascii="Arial" w:eastAsia="Calibri" w:hAnsi="Arial" w:cs="Arial"/>
          <w:sz w:val="20"/>
          <w:szCs w:val="20"/>
          <w:lang w:val="en-US"/>
        </w:rPr>
        <w:t>au</w:t>
      </w:r>
      <w:r w:rsidRPr="003B02FB">
        <w:rPr>
          <w:rFonts w:ascii="Arial" w:eastAsia="Calibri" w:hAnsi="Arial" w:cs="Arial"/>
          <w:sz w:val="20"/>
          <w:szCs w:val="20"/>
          <w:lang w:val="en-US"/>
        </w:rPr>
        <w:t xml:space="preserve"> (2002)</w:t>
      </w:r>
      <w:r w:rsidR="002E6F92" w:rsidRPr="003B02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3B02FB">
        <w:rPr>
          <w:rFonts w:ascii="Arial" w:eastAsia="Calibri" w:hAnsi="Arial" w:cs="Arial"/>
          <w:sz w:val="20"/>
          <w:szCs w:val="20"/>
          <w:lang w:val="en-US"/>
        </w:rPr>
        <w:t xml:space="preserve"> https://www.legislation.gov.uk/ukpga/2002/29/contents ac unrhyw reoliadau eraill </w:t>
      </w:r>
      <w:r w:rsidR="00F377B4" w:rsidRPr="003B02FB">
        <w:rPr>
          <w:rFonts w:ascii="Arial" w:eastAsia="Calibri" w:hAnsi="Arial" w:cs="Arial"/>
          <w:sz w:val="20"/>
          <w:szCs w:val="20"/>
          <w:lang w:val="en-US"/>
        </w:rPr>
        <w:t>ynghylch</w:t>
      </w:r>
      <w:r w:rsidRPr="003B02FB">
        <w:rPr>
          <w:rFonts w:ascii="Arial" w:eastAsia="Calibri" w:hAnsi="Arial" w:cs="Arial"/>
          <w:sz w:val="20"/>
          <w:szCs w:val="20"/>
          <w:lang w:val="en-US"/>
        </w:rPr>
        <w:t xml:space="preserve"> amheuaeth o wyngalchu arian.</w:t>
      </w:r>
      <w:r w:rsidR="002E6F92" w:rsidRPr="003B02FB">
        <w:rPr>
          <w:rFonts w:ascii="Arial" w:eastAsia="Calibri" w:hAnsi="Arial" w:cs="Arial"/>
          <w:sz w:val="20"/>
          <w:szCs w:val="20"/>
          <w:lang w:val="en-US"/>
        </w:rPr>
        <w:t xml:space="preserve">  Pe bai gan staff achos i amau y gallai unrhyw weithrediad masnachol fod yn </w:t>
      </w:r>
      <w:r w:rsidR="000E2EC5" w:rsidRPr="003B02FB">
        <w:rPr>
          <w:rFonts w:ascii="Arial" w:eastAsia="Calibri" w:hAnsi="Arial" w:cs="Arial"/>
          <w:sz w:val="20"/>
          <w:szCs w:val="20"/>
          <w:lang w:val="en-US"/>
        </w:rPr>
        <w:t>guddiad</w:t>
      </w:r>
      <w:r w:rsidR="002E6F92" w:rsidRPr="003B02FB">
        <w:rPr>
          <w:rFonts w:ascii="Arial" w:eastAsia="Calibri" w:hAnsi="Arial" w:cs="Arial"/>
          <w:sz w:val="20"/>
          <w:szCs w:val="20"/>
          <w:lang w:val="en-US"/>
        </w:rPr>
        <w:t xml:space="preserve"> ar gyfer y fath weithgaredd</w:t>
      </w:r>
      <w:r w:rsidR="00AA0B11" w:rsidRPr="003B02FB">
        <w:rPr>
          <w:rFonts w:ascii="Arial" w:eastAsia="Calibri" w:hAnsi="Arial" w:cs="Arial"/>
          <w:sz w:val="20"/>
          <w:szCs w:val="20"/>
          <w:lang w:val="en-US"/>
        </w:rPr>
        <w:t xml:space="preserve">, dylent hysbysu’r Cyfarwyddwr Cyllid a Gwasanaethau Corfforaethol </w:t>
      </w:r>
      <w:r w:rsidR="000E2EC5" w:rsidRPr="003B02FB">
        <w:rPr>
          <w:rFonts w:ascii="Arial" w:eastAsia="Calibri" w:hAnsi="Arial" w:cs="Arial"/>
          <w:sz w:val="20"/>
          <w:szCs w:val="20"/>
          <w:lang w:val="en-US"/>
        </w:rPr>
        <w:t>ar unwaith</w:t>
      </w:r>
      <w:r w:rsidR="00AA0B11" w:rsidRPr="003B02FB">
        <w:rPr>
          <w:rFonts w:ascii="Arial" w:eastAsia="Calibri" w:hAnsi="Arial" w:cs="Arial"/>
          <w:sz w:val="20"/>
          <w:szCs w:val="20"/>
          <w:lang w:val="en-US"/>
        </w:rPr>
        <w:t>. Diffinnir gwyngalchu arian fel unrhyw weithrediad masnachol sy'n cynnwys ymdrin ag enillion trosedd</w:t>
      </w:r>
      <w:r w:rsidR="000E2EC5" w:rsidRPr="003B02FB">
        <w:rPr>
          <w:rFonts w:ascii="Arial" w:eastAsia="Calibri" w:hAnsi="Arial" w:cs="Arial"/>
          <w:sz w:val="20"/>
          <w:szCs w:val="20"/>
          <w:lang w:val="en-US"/>
        </w:rPr>
        <w:t>ol</w:t>
      </w:r>
      <w:r w:rsidR="00AA0B11" w:rsidRPr="003B02FB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4E40056C" w14:textId="316CA9FD" w:rsidR="00AA0B11" w:rsidRPr="003B02FB" w:rsidRDefault="00AA0B11" w:rsidP="003B02FB">
      <w:pPr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3B02FB">
        <w:rPr>
          <w:rFonts w:ascii="Arial" w:eastAsia="Calibri" w:hAnsi="Arial" w:cs="Arial"/>
          <w:sz w:val="20"/>
          <w:szCs w:val="20"/>
          <w:lang w:val="en-US"/>
        </w:rPr>
        <w:t xml:space="preserve">7.2. </w:t>
      </w:r>
      <w:r w:rsidR="00354742" w:rsidRPr="003B02FB">
        <w:rPr>
          <w:rFonts w:ascii="Arial" w:eastAsia="Calibri" w:hAnsi="Arial" w:cs="Arial"/>
          <w:sz w:val="20"/>
          <w:szCs w:val="20"/>
          <w:lang w:val="en-US"/>
        </w:rPr>
        <w:tab/>
      </w:r>
      <w:r w:rsidRPr="003B02FB">
        <w:rPr>
          <w:rFonts w:ascii="Arial" w:eastAsia="Calibri" w:hAnsi="Arial" w:cs="Arial"/>
          <w:sz w:val="20"/>
          <w:szCs w:val="20"/>
          <w:lang w:val="en-US"/>
        </w:rPr>
        <w:t xml:space="preserve">Gall arwyddion 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posibl </w:t>
      </w:r>
      <w:r w:rsidRPr="003B02FB">
        <w:rPr>
          <w:rFonts w:ascii="Arial" w:eastAsia="Calibri" w:hAnsi="Arial" w:cs="Arial"/>
          <w:sz w:val="20"/>
          <w:szCs w:val="20"/>
          <w:lang w:val="en-US"/>
        </w:rPr>
        <w:t>o wyngal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chu arian gynnwys: </w:t>
      </w:r>
    </w:p>
    <w:p w14:paraId="6E7F2EA1" w14:textId="25D02B43" w:rsidR="00354742" w:rsidRPr="003B02FB" w:rsidRDefault="00E2441C" w:rsidP="008256D6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val="en-US"/>
        </w:rPr>
      </w:pPr>
      <w:r w:rsidRPr="003B02FB">
        <w:rPr>
          <w:rFonts w:ascii="Arial" w:eastAsia="Calibri" w:hAnsi="Arial" w:cs="Arial"/>
          <w:sz w:val="20"/>
          <w:szCs w:val="20"/>
          <w:lang w:val="en-US"/>
        </w:rPr>
        <w:t xml:space="preserve">Pan </w:t>
      </w:r>
      <w:r w:rsidR="00D913A9" w:rsidRPr="003B02FB">
        <w:rPr>
          <w:rFonts w:ascii="Arial" w:eastAsia="Calibri" w:hAnsi="Arial" w:cs="Arial"/>
          <w:sz w:val="20"/>
          <w:szCs w:val="20"/>
          <w:lang w:val="en-US"/>
        </w:rPr>
        <w:t>fo</w:t>
      </w:r>
      <w:r w:rsidRPr="003B02FB">
        <w:rPr>
          <w:rFonts w:ascii="Arial" w:eastAsia="Calibri" w:hAnsi="Arial" w:cs="Arial"/>
          <w:sz w:val="20"/>
          <w:szCs w:val="20"/>
          <w:lang w:val="en-US"/>
        </w:rPr>
        <w:t xml:space="preserve"> p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erson neu gwmni </w:t>
      </w:r>
      <w:r w:rsidRPr="003B02FB">
        <w:rPr>
          <w:rFonts w:ascii="Arial" w:eastAsia="Calibri" w:hAnsi="Arial" w:cs="Arial"/>
          <w:sz w:val="20"/>
          <w:szCs w:val="20"/>
          <w:lang w:val="en-US"/>
        </w:rPr>
        <w:t>y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n gwneud taliad arian parod mawr i'r Brifysgol, ond </w:t>
      </w:r>
      <w:r w:rsidRPr="003B02FB">
        <w:rPr>
          <w:rFonts w:ascii="Arial" w:eastAsia="Calibri" w:hAnsi="Arial" w:cs="Arial"/>
          <w:sz w:val="20"/>
          <w:szCs w:val="20"/>
          <w:lang w:val="en-US"/>
        </w:rPr>
        <w:t>yn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 methu â darparu’r dystiolaeth gywir i gadarnhau eu hunaniaeth a'u cyfeiriad.</w:t>
      </w:r>
    </w:p>
    <w:p w14:paraId="7280C9E2" w14:textId="6317D019" w:rsidR="00354742" w:rsidRPr="003B02FB" w:rsidRDefault="00E2441C" w:rsidP="008256D6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val="en-US"/>
        </w:rPr>
      </w:pPr>
      <w:r w:rsidRPr="003B02FB">
        <w:rPr>
          <w:rFonts w:ascii="Arial" w:eastAsia="Calibri" w:hAnsi="Arial" w:cs="Arial"/>
          <w:sz w:val="20"/>
          <w:szCs w:val="20"/>
          <w:lang w:val="en-US"/>
        </w:rPr>
        <w:t>Pan n</w:t>
      </w:r>
      <w:r w:rsidR="00354742" w:rsidRPr="003B02FB">
        <w:rPr>
          <w:rFonts w:ascii="Arial" w:eastAsia="Calibri" w:hAnsi="Arial" w:cs="Arial"/>
          <w:sz w:val="20"/>
          <w:szCs w:val="20"/>
          <w:lang w:val="en-US"/>
        </w:rPr>
        <w:t>a</w:t>
      </w:r>
      <w:r w:rsidRPr="003B02FB">
        <w:rPr>
          <w:rFonts w:ascii="Arial" w:eastAsia="Calibri" w:hAnsi="Arial" w:cs="Arial"/>
          <w:sz w:val="20"/>
          <w:szCs w:val="20"/>
          <w:lang w:val="en-US"/>
        </w:rPr>
        <w:t xml:space="preserve">d oes gan </w:t>
      </w:r>
      <w:r w:rsidR="00354742" w:rsidRPr="003B02FB">
        <w:rPr>
          <w:rFonts w:ascii="Arial" w:eastAsia="Calibri" w:hAnsi="Arial" w:cs="Arial"/>
          <w:sz w:val="20"/>
          <w:szCs w:val="20"/>
          <w:lang w:val="en-US"/>
        </w:rPr>
        <w:t>b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erson(au) neu gwmni sy'n gwneud busnes gyda'r Brifysgol </w:t>
      </w:r>
      <w:r w:rsidR="00354742" w:rsidRPr="003B02FB">
        <w:rPr>
          <w:rFonts w:ascii="Arial" w:eastAsia="Calibri" w:hAnsi="Arial" w:cs="Arial"/>
          <w:sz w:val="20"/>
          <w:szCs w:val="20"/>
          <w:lang w:val="en-US"/>
        </w:rPr>
        <w:t>y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 gwaith papur cywir. (Gall enghreifftiau o hyn gynnwys anfonebau sy'n eithrio TAW, sy'n methu â dyfynnu rhif TAW neu anfonebau a gyhoeddwyd gan gwmni cyfyngedig</w:t>
      </w:r>
      <w:r w:rsidR="00354742" w:rsidRPr="003B02FB">
        <w:rPr>
          <w:rFonts w:ascii="Arial" w:eastAsia="Calibri" w:hAnsi="Arial" w:cs="Arial"/>
          <w:sz w:val="20"/>
          <w:szCs w:val="20"/>
          <w:lang w:val="en-US"/>
        </w:rPr>
        <w:t xml:space="preserve"> nad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F377B4" w:rsidRPr="003B02FB">
        <w:rPr>
          <w:rFonts w:ascii="Arial" w:eastAsia="Calibri" w:hAnsi="Arial" w:cs="Arial"/>
          <w:sz w:val="20"/>
          <w:szCs w:val="20"/>
          <w:lang w:val="en-US"/>
        </w:rPr>
        <w:t>oes ganddo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 swyddfa </w:t>
      </w:r>
      <w:r w:rsidR="00354742" w:rsidRPr="003B02FB">
        <w:rPr>
          <w:rFonts w:ascii="Arial" w:eastAsia="Calibri" w:hAnsi="Arial" w:cs="Arial"/>
          <w:sz w:val="20"/>
          <w:szCs w:val="20"/>
          <w:lang w:val="en-US"/>
        </w:rPr>
        <w:t>n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>a rhif cofrestredig</w:t>
      </w:r>
      <w:r w:rsidR="00F377B4" w:rsidRPr="003B02FB">
        <w:rPr>
          <w:rFonts w:ascii="Arial" w:eastAsia="Calibri" w:hAnsi="Arial" w:cs="Arial"/>
          <w:sz w:val="20"/>
          <w:szCs w:val="20"/>
          <w:lang w:val="en-US"/>
        </w:rPr>
        <w:t>.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 Gellir gwirio gwybodaeth o'r fath ar wefan </w:t>
      </w:r>
      <w:r w:rsidRPr="003B02FB">
        <w:rPr>
          <w:rFonts w:ascii="Arial" w:eastAsia="Calibri" w:hAnsi="Arial" w:cs="Arial"/>
          <w:sz w:val="20"/>
          <w:szCs w:val="20"/>
          <w:lang w:val="en-US"/>
        </w:rPr>
        <w:t>Tŷ’r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 Cwmnïau, </w:t>
      </w:r>
      <w:hyperlink r:id="rId6" w:history="1">
        <w:r w:rsidR="00354742" w:rsidRPr="003B02FB">
          <w:rPr>
            <w:rStyle w:val="Hyperlink"/>
            <w:rFonts w:ascii="Arial" w:eastAsia="Calibri" w:hAnsi="Arial" w:cs="Arial"/>
            <w:sz w:val="20"/>
            <w:szCs w:val="20"/>
            <w:lang w:val="en-US"/>
          </w:rPr>
          <w:t>www.companies-house.gov.uk</w:t>
        </w:r>
      </w:hyperlink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>).</w:t>
      </w:r>
    </w:p>
    <w:p w14:paraId="415DBDD2" w14:textId="53B44153" w:rsidR="00354742" w:rsidRPr="003B02FB" w:rsidRDefault="00354742" w:rsidP="008256D6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val="en-US"/>
        </w:rPr>
      </w:pPr>
      <w:r w:rsidRPr="003B02FB">
        <w:rPr>
          <w:rFonts w:ascii="Arial" w:eastAsia="Calibri" w:hAnsi="Arial" w:cs="Arial"/>
          <w:sz w:val="20"/>
          <w:szCs w:val="20"/>
          <w:lang w:val="en-US"/>
        </w:rPr>
        <w:t xml:space="preserve">Pan </w:t>
      </w:r>
      <w:r w:rsidR="00D913A9" w:rsidRPr="003B02FB">
        <w:rPr>
          <w:rFonts w:ascii="Arial" w:eastAsia="Calibri" w:hAnsi="Arial" w:cs="Arial"/>
          <w:sz w:val="20"/>
          <w:szCs w:val="20"/>
          <w:lang w:val="en-US"/>
        </w:rPr>
        <w:t>fo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 person(au) neu gwmni yn ceisio ymgymryd â “</w:t>
      </w:r>
      <w:r w:rsidRPr="003B02FB">
        <w:rPr>
          <w:rFonts w:ascii="Arial" w:eastAsia="Calibri" w:hAnsi="Arial" w:cs="Arial"/>
          <w:sz w:val="20"/>
          <w:szCs w:val="20"/>
          <w:lang w:val="en-US"/>
        </w:rPr>
        <w:t>gweithrediadau masnachol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 cylchol”, lle dilynir taliad i'r Brifysgol gan ymgais i gael ad-daliad o gyfrifon y Brifysgol. (Gall hyn ddigwydd pan fydd myfyriwr yn talu swm sylweddol mewn ffioedd, ac yna'n tynnu'n ôl </w:t>
      </w:r>
      <w:r w:rsidR="00000BD0" w:rsidRPr="003B02FB">
        <w:rPr>
          <w:rFonts w:ascii="Arial" w:eastAsia="Calibri" w:hAnsi="Arial" w:cs="Arial"/>
          <w:sz w:val="20"/>
          <w:szCs w:val="20"/>
          <w:lang w:val="en-US"/>
        </w:rPr>
        <w:t>gan g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 xml:space="preserve">eisio </w:t>
      </w:r>
      <w:r w:rsidR="00551257" w:rsidRPr="003B02FB">
        <w:rPr>
          <w:rFonts w:ascii="Arial" w:eastAsia="Calibri" w:hAnsi="Arial" w:cs="Arial"/>
          <w:sz w:val="20"/>
          <w:szCs w:val="20"/>
          <w:lang w:val="en-US"/>
        </w:rPr>
        <w:t>hawlio</w:t>
      </w:r>
      <w:r w:rsidRPr="003B02F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>ad-daliad).</w:t>
      </w:r>
    </w:p>
    <w:p w14:paraId="7D370243" w14:textId="21BBEC1C" w:rsidR="00AA0B11" w:rsidRPr="003B02FB" w:rsidRDefault="00354742" w:rsidP="008256D6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val="en-US"/>
        </w:rPr>
      </w:pPr>
      <w:r w:rsidRPr="003B02FB">
        <w:rPr>
          <w:rFonts w:ascii="Arial" w:eastAsia="Calibri" w:hAnsi="Arial" w:cs="Arial"/>
          <w:sz w:val="20"/>
          <w:szCs w:val="20"/>
          <w:lang w:val="en-US"/>
        </w:rPr>
        <w:t>Pan w</w:t>
      </w:r>
      <w:r w:rsidR="008256D6" w:rsidRPr="003B02FB">
        <w:rPr>
          <w:rFonts w:ascii="Arial" w:eastAsia="Calibri" w:hAnsi="Arial" w:cs="Arial"/>
          <w:sz w:val="20"/>
          <w:szCs w:val="20"/>
          <w:lang w:val="en-US"/>
        </w:rPr>
        <w:t>neir taliadau mawr anarferol neu annisgwyl yng nghyfrifon y Brifysgol.</w:t>
      </w:r>
    </w:p>
    <w:p w14:paraId="5FE2F48B" w14:textId="200D026B" w:rsidR="00AC674D" w:rsidRPr="003B02FB" w:rsidRDefault="00354742" w:rsidP="003B02FB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3B02FB">
        <w:rPr>
          <w:rFonts w:ascii="Arial" w:hAnsi="Arial" w:cs="Arial"/>
          <w:sz w:val="20"/>
          <w:szCs w:val="20"/>
        </w:rPr>
        <w:t xml:space="preserve">7.3. </w:t>
      </w:r>
      <w:r w:rsidRPr="003B02FB">
        <w:rPr>
          <w:rFonts w:ascii="Arial" w:hAnsi="Arial" w:cs="Arial"/>
          <w:sz w:val="20"/>
          <w:szCs w:val="20"/>
        </w:rPr>
        <w:tab/>
        <w:t xml:space="preserve">Sylwch nad yw’r rhestr uchod yn </w:t>
      </w:r>
      <w:r w:rsidR="00F377B4" w:rsidRPr="003B02FB">
        <w:rPr>
          <w:rFonts w:ascii="Arial" w:hAnsi="Arial" w:cs="Arial"/>
          <w:sz w:val="20"/>
          <w:szCs w:val="20"/>
        </w:rPr>
        <w:t>hollgynhwysol</w:t>
      </w:r>
      <w:r w:rsidRPr="003B02FB">
        <w:rPr>
          <w:rFonts w:ascii="Arial" w:hAnsi="Arial" w:cs="Arial"/>
          <w:sz w:val="20"/>
          <w:szCs w:val="20"/>
        </w:rPr>
        <w:t xml:space="preserve">, a gall gwyngalchu arian ymddangos mewn </w:t>
      </w:r>
      <w:r w:rsidR="00000BD0" w:rsidRPr="003B02FB">
        <w:rPr>
          <w:rFonts w:ascii="Arial" w:hAnsi="Arial" w:cs="Arial"/>
          <w:sz w:val="20"/>
          <w:szCs w:val="20"/>
        </w:rPr>
        <w:t>amryw o</w:t>
      </w:r>
      <w:r w:rsidRPr="003B02FB">
        <w:rPr>
          <w:rFonts w:ascii="Arial" w:hAnsi="Arial" w:cs="Arial"/>
          <w:sz w:val="20"/>
          <w:szCs w:val="20"/>
        </w:rPr>
        <w:t xml:space="preserve"> ffurf.</w:t>
      </w:r>
    </w:p>
    <w:p w14:paraId="1E7A23F1" w14:textId="418E0E10" w:rsidR="00354742" w:rsidRPr="003B02FB" w:rsidRDefault="00000BD0" w:rsidP="003B02FB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3B02FB">
        <w:rPr>
          <w:rFonts w:ascii="Arial" w:hAnsi="Arial" w:cs="Arial"/>
          <w:sz w:val="20"/>
          <w:szCs w:val="20"/>
        </w:rPr>
        <w:t>7.4.</w:t>
      </w:r>
      <w:r w:rsidRPr="003B02FB">
        <w:rPr>
          <w:rFonts w:ascii="Arial" w:hAnsi="Arial" w:cs="Arial"/>
          <w:sz w:val="20"/>
          <w:szCs w:val="20"/>
        </w:rPr>
        <w:tab/>
        <w:t xml:space="preserve">Bydd y Cyfarwyddwr Cyllid a Gwasanaethau Corfforaethol yn adrodd yr holl ddigwyddiadau </w:t>
      </w:r>
      <w:r w:rsidR="00566A42" w:rsidRPr="003B02FB">
        <w:rPr>
          <w:rFonts w:ascii="Arial" w:hAnsi="Arial" w:cs="Arial"/>
          <w:sz w:val="20"/>
          <w:szCs w:val="20"/>
        </w:rPr>
        <w:t xml:space="preserve">dan amheuaeth </w:t>
      </w:r>
      <w:r w:rsidRPr="003B02FB">
        <w:rPr>
          <w:rFonts w:ascii="Arial" w:hAnsi="Arial" w:cs="Arial"/>
          <w:sz w:val="20"/>
          <w:szCs w:val="20"/>
        </w:rPr>
        <w:t xml:space="preserve">o wyngalchu arian i'r awdurdodau cymwys. </w:t>
      </w:r>
      <w:r w:rsidR="00566A42" w:rsidRPr="003B02FB">
        <w:rPr>
          <w:rFonts w:ascii="Arial" w:hAnsi="Arial" w:cs="Arial"/>
          <w:sz w:val="20"/>
          <w:szCs w:val="20"/>
        </w:rPr>
        <w:t>Mae D</w:t>
      </w:r>
      <w:r w:rsidRPr="003B02FB">
        <w:rPr>
          <w:rFonts w:ascii="Arial" w:hAnsi="Arial" w:cs="Arial"/>
          <w:sz w:val="20"/>
          <w:szCs w:val="20"/>
        </w:rPr>
        <w:t>eddf Elw Troseddau (2002)</w:t>
      </w:r>
      <w:r w:rsidR="00566A42" w:rsidRPr="003B02FB">
        <w:rPr>
          <w:rFonts w:ascii="Arial" w:hAnsi="Arial" w:cs="Arial"/>
          <w:sz w:val="20"/>
          <w:szCs w:val="20"/>
        </w:rPr>
        <w:t xml:space="preserve"> </w:t>
      </w:r>
      <w:r w:rsidRPr="003B02FB">
        <w:rPr>
          <w:rFonts w:ascii="Arial" w:hAnsi="Arial" w:cs="Arial"/>
          <w:sz w:val="20"/>
          <w:szCs w:val="20"/>
        </w:rPr>
        <w:t>yn ei gwneud yn ofynnol i Adroddiad Gweithgaredd Amheus gael ei anfon ymlaen at y Gwasanaeth Cudd-wybodaeth Droseddol Genedlaethol. Gellir canfod y manylion llawn o beth i'w wneud yma: https://www.gov.uk/guidance/money-laundering-regulations-report-suspicious-activities.</w:t>
      </w:r>
    </w:p>
    <w:p w14:paraId="2A1B77EE" w14:textId="77777777" w:rsidR="00354742" w:rsidRPr="003B02FB" w:rsidRDefault="00354742">
      <w:pPr>
        <w:rPr>
          <w:rFonts w:ascii="Arial" w:hAnsi="Arial" w:cs="Arial"/>
        </w:rPr>
      </w:pPr>
    </w:p>
    <w:sectPr w:rsidR="00354742" w:rsidRPr="003B02FB" w:rsidSect="00313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23CF"/>
    <w:multiLevelType w:val="hybridMultilevel"/>
    <w:tmpl w:val="68EEDD3A"/>
    <w:lvl w:ilvl="0" w:tplc="045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4D"/>
    <w:rsid w:val="000001A4"/>
    <w:rsid w:val="00000BD0"/>
    <w:rsid w:val="000E2EC5"/>
    <w:rsid w:val="002E6F92"/>
    <w:rsid w:val="00313213"/>
    <w:rsid w:val="00354742"/>
    <w:rsid w:val="003B02FB"/>
    <w:rsid w:val="004B3A46"/>
    <w:rsid w:val="00551257"/>
    <w:rsid w:val="00566A42"/>
    <w:rsid w:val="00695299"/>
    <w:rsid w:val="008256D6"/>
    <w:rsid w:val="009F0137"/>
    <w:rsid w:val="00AA0B11"/>
    <w:rsid w:val="00AC674D"/>
    <w:rsid w:val="00B34C90"/>
    <w:rsid w:val="00D913A9"/>
    <w:rsid w:val="00E2441C"/>
    <w:rsid w:val="00EB4B77"/>
    <w:rsid w:val="00F10471"/>
    <w:rsid w:val="00F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5872"/>
  <w15:chartTrackingRefBased/>
  <w15:docId w15:val="{48235C1E-5EBA-4DFF-BE16-AE96AEC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7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anies-hous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Huws</dc:creator>
  <cp:keywords/>
  <dc:description/>
  <cp:lastModifiedBy>Carol Rees [cej] (Staff)</cp:lastModifiedBy>
  <cp:revision>2</cp:revision>
  <dcterms:created xsi:type="dcterms:W3CDTF">2022-02-15T11:04:00Z</dcterms:created>
  <dcterms:modified xsi:type="dcterms:W3CDTF">2022-02-15T11:04:00Z</dcterms:modified>
</cp:coreProperties>
</file>