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048D" w14:textId="77777777" w:rsidR="00AD18C3" w:rsidRDefault="00AD18C3" w:rsidP="006E46DC">
      <w:pPr>
        <w:spacing w:after="0" w:line="336" w:lineRule="atLeast"/>
        <w:rPr>
          <w:rFonts w:eastAsia="Times New Roman" w:cstheme="minorHAnsi"/>
          <w:b/>
          <w:bCs/>
          <w:color w:val="4472C4" w:themeColor="accent1"/>
          <w:sz w:val="20"/>
          <w:szCs w:val="20"/>
          <w:lang w:eastAsia="en-GB"/>
        </w:rPr>
      </w:pPr>
    </w:p>
    <w:p w14:paraId="17ADB9D6" w14:textId="77777777" w:rsidR="00AD18C3" w:rsidRDefault="00AD18C3" w:rsidP="00AD18C3">
      <w:pPr>
        <w:jc w:val="center"/>
        <w:rPr>
          <w:rFonts w:eastAsia="Times New Roman" w:cstheme="minorHAnsi"/>
          <w:b/>
          <w:bCs/>
          <w:color w:val="4472C4" w:themeColor="accent1"/>
          <w:sz w:val="20"/>
          <w:szCs w:val="20"/>
          <w:lang w:eastAsia="en-GB"/>
        </w:rPr>
      </w:pPr>
      <w:r w:rsidRPr="00B97545">
        <w:rPr>
          <w:rFonts w:ascii="Arial" w:hAnsi="Arial" w:cs="Arial"/>
          <w:noProof/>
        </w:rPr>
        <w:drawing>
          <wp:inline distT="0" distB="0" distL="0" distR="0" wp14:anchorId="5E812513" wp14:editId="1B78350D">
            <wp:extent cx="2430780" cy="609600"/>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00444000" w14:textId="77777777" w:rsidR="00AD18C3" w:rsidRDefault="00AD18C3" w:rsidP="00AD18C3">
      <w:pPr>
        <w:jc w:val="center"/>
        <w:rPr>
          <w:rFonts w:eastAsia="Times New Roman" w:cstheme="minorHAnsi"/>
          <w:b/>
          <w:bCs/>
          <w:color w:val="4472C4" w:themeColor="accent1"/>
          <w:sz w:val="20"/>
          <w:szCs w:val="20"/>
          <w:lang w:eastAsia="en-GB"/>
        </w:rPr>
      </w:pPr>
    </w:p>
    <w:p w14:paraId="2C074B45" w14:textId="7301CFAF" w:rsidR="00AD18C3" w:rsidRDefault="00AD18C3" w:rsidP="00D35B45">
      <w:pPr>
        <w:jc w:val="center"/>
        <w:rPr>
          <w:rFonts w:ascii="Arial" w:hAnsi="Arial" w:cs="Arial"/>
          <w:b/>
          <w:bCs/>
        </w:rPr>
      </w:pPr>
      <w:r w:rsidRPr="007E74C0">
        <w:rPr>
          <w:rFonts w:ascii="Arial" w:hAnsi="Arial" w:cs="Arial"/>
          <w:b/>
          <w:bCs/>
        </w:rPr>
        <w:t>FINANCIAL PROCEDURES</w:t>
      </w:r>
    </w:p>
    <w:p w14:paraId="27895A1F" w14:textId="77777777" w:rsidR="007E74C0" w:rsidRPr="007E74C0" w:rsidRDefault="007E74C0" w:rsidP="00D35B45">
      <w:pPr>
        <w:jc w:val="center"/>
        <w:rPr>
          <w:rFonts w:ascii="Arial" w:hAnsi="Arial" w:cs="Arial"/>
          <w:b/>
          <w:bCs/>
        </w:rPr>
      </w:pPr>
    </w:p>
    <w:p w14:paraId="2EDF55AF" w14:textId="77777777" w:rsidR="00AD18C3" w:rsidRPr="007E74C0" w:rsidRDefault="00AD18C3" w:rsidP="00AD18C3">
      <w:pPr>
        <w:rPr>
          <w:rFonts w:ascii="Arial" w:hAnsi="Arial" w:cs="Arial"/>
          <w:b/>
          <w:bCs/>
          <w:u w:val="single"/>
        </w:rPr>
      </w:pPr>
      <w:r w:rsidRPr="007E74C0">
        <w:rPr>
          <w:rFonts w:ascii="Arial" w:hAnsi="Arial" w:cs="Arial"/>
          <w:b/>
          <w:bCs/>
          <w:u w:val="single"/>
        </w:rPr>
        <w:t>Section 09 – Income – Tuition and Accommodation Fees</w:t>
      </w:r>
    </w:p>
    <w:p w14:paraId="48E6D638" w14:textId="72356703" w:rsidR="00AD18C3" w:rsidRPr="007E74C0" w:rsidRDefault="00AD18C3" w:rsidP="00AD18C3">
      <w:pPr>
        <w:spacing w:after="0"/>
        <w:rPr>
          <w:rFonts w:ascii="Arial" w:hAnsi="Arial" w:cs="Arial"/>
        </w:rPr>
      </w:pPr>
      <w:r w:rsidRPr="007E74C0">
        <w:rPr>
          <w:rFonts w:ascii="Arial" w:hAnsi="Arial" w:cs="Arial"/>
          <w:b/>
          <w:bCs/>
        </w:rPr>
        <w:t>Approving Body:</w:t>
      </w:r>
      <w:r w:rsidRPr="007E74C0">
        <w:rPr>
          <w:rFonts w:ascii="Arial" w:hAnsi="Arial" w:cs="Arial"/>
        </w:rPr>
        <w:tab/>
      </w:r>
      <w:r w:rsidRPr="007E74C0">
        <w:rPr>
          <w:rFonts w:ascii="Arial" w:hAnsi="Arial" w:cs="Arial"/>
        </w:rPr>
        <w:tab/>
      </w:r>
      <w:r w:rsidR="00F33592">
        <w:rPr>
          <w:rFonts w:ascii="Arial" w:hAnsi="Arial" w:cs="Arial"/>
        </w:rPr>
        <w:t>Resources</w:t>
      </w:r>
      <w:r w:rsidRPr="007E74C0">
        <w:rPr>
          <w:rFonts w:ascii="Arial" w:hAnsi="Arial" w:cs="Arial"/>
        </w:rPr>
        <w:t xml:space="preserve"> and Performance Committee</w:t>
      </w:r>
    </w:p>
    <w:p w14:paraId="5AB4EC4C" w14:textId="77777777" w:rsidR="00AD18C3" w:rsidRPr="007E74C0" w:rsidRDefault="00AD18C3" w:rsidP="00AD18C3">
      <w:pPr>
        <w:spacing w:after="0"/>
        <w:rPr>
          <w:rFonts w:ascii="Arial" w:hAnsi="Arial" w:cs="Arial"/>
        </w:rPr>
      </w:pPr>
      <w:r w:rsidRPr="007E74C0">
        <w:rPr>
          <w:rFonts w:ascii="Arial" w:hAnsi="Arial" w:cs="Arial"/>
          <w:b/>
          <w:bCs/>
        </w:rPr>
        <w:t>Date of Approval:</w:t>
      </w:r>
      <w:r w:rsidRPr="007E74C0">
        <w:rPr>
          <w:rFonts w:ascii="Arial" w:hAnsi="Arial" w:cs="Arial"/>
        </w:rPr>
        <w:tab/>
      </w:r>
      <w:r w:rsidRPr="007E74C0">
        <w:rPr>
          <w:rFonts w:ascii="Arial" w:hAnsi="Arial" w:cs="Arial"/>
        </w:rPr>
        <w:tab/>
        <w:t>February 2021</w:t>
      </w:r>
    </w:p>
    <w:p w14:paraId="69DA0429" w14:textId="5974DAFC" w:rsidR="00AD18C3" w:rsidRPr="007E74C0" w:rsidRDefault="00AD18C3" w:rsidP="00AD18C3">
      <w:pPr>
        <w:spacing w:after="0"/>
        <w:rPr>
          <w:rFonts w:ascii="Arial" w:hAnsi="Arial" w:cs="Arial"/>
        </w:rPr>
      </w:pPr>
      <w:r w:rsidRPr="007E74C0">
        <w:rPr>
          <w:rFonts w:ascii="Arial" w:hAnsi="Arial" w:cs="Arial"/>
          <w:b/>
          <w:bCs/>
        </w:rPr>
        <w:t>Policy Owner:</w:t>
      </w:r>
      <w:r w:rsidRPr="007E74C0">
        <w:rPr>
          <w:rFonts w:ascii="Arial" w:hAnsi="Arial" w:cs="Arial"/>
        </w:rPr>
        <w:tab/>
      </w:r>
      <w:r w:rsidRPr="007E74C0">
        <w:rPr>
          <w:rFonts w:ascii="Arial" w:hAnsi="Arial" w:cs="Arial"/>
        </w:rPr>
        <w:tab/>
        <w:t xml:space="preserve">Finance and Compliance </w:t>
      </w:r>
    </w:p>
    <w:p w14:paraId="6BDE8FF4" w14:textId="77777777" w:rsidR="00AD18C3" w:rsidRPr="007E74C0" w:rsidRDefault="00AD18C3" w:rsidP="00AD18C3">
      <w:pPr>
        <w:spacing w:after="0"/>
        <w:rPr>
          <w:rFonts w:ascii="Arial" w:hAnsi="Arial" w:cs="Arial"/>
        </w:rPr>
      </w:pPr>
      <w:r w:rsidRPr="007E74C0">
        <w:rPr>
          <w:rFonts w:ascii="Arial" w:hAnsi="Arial" w:cs="Arial"/>
          <w:b/>
          <w:bCs/>
        </w:rPr>
        <w:t>Last Review Date:</w:t>
      </w:r>
      <w:r w:rsidRPr="007E74C0">
        <w:rPr>
          <w:rFonts w:ascii="Arial" w:hAnsi="Arial" w:cs="Arial"/>
        </w:rPr>
        <w:tab/>
      </w:r>
      <w:r w:rsidRPr="007E74C0">
        <w:rPr>
          <w:rFonts w:ascii="Arial" w:hAnsi="Arial" w:cs="Arial"/>
        </w:rPr>
        <w:tab/>
        <w:t>February 2021</w:t>
      </w:r>
    </w:p>
    <w:p w14:paraId="54457588" w14:textId="77777777" w:rsidR="00AD18C3" w:rsidRPr="007E74C0" w:rsidRDefault="00AD18C3" w:rsidP="00AD18C3">
      <w:pPr>
        <w:spacing w:after="0"/>
        <w:rPr>
          <w:rFonts w:ascii="Arial" w:hAnsi="Arial" w:cs="Arial"/>
        </w:rPr>
      </w:pPr>
      <w:r w:rsidRPr="007E74C0">
        <w:rPr>
          <w:rFonts w:ascii="Arial" w:hAnsi="Arial" w:cs="Arial"/>
          <w:b/>
          <w:bCs/>
        </w:rPr>
        <w:t>Next Review Date:</w:t>
      </w:r>
      <w:r w:rsidRPr="007E74C0">
        <w:rPr>
          <w:rFonts w:ascii="Arial" w:hAnsi="Arial" w:cs="Arial"/>
        </w:rPr>
        <w:tab/>
      </w:r>
      <w:r w:rsidRPr="007E74C0">
        <w:rPr>
          <w:rFonts w:ascii="Arial" w:hAnsi="Arial" w:cs="Arial"/>
        </w:rPr>
        <w:tab/>
        <w:t>June 2022</w:t>
      </w:r>
    </w:p>
    <w:p w14:paraId="1CFDC47B" w14:textId="225E885A" w:rsidR="00AD18C3" w:rsidRPr="00AD18C3" w:rsidRDefault="00AD18C3" w:rsidP="00AD18C3">
      <w:pPr>
        <w:jc w:val="center"/>
        <w:rPr>
          <w:rFonts w:ascii="Arial" w:hAnsi="Arial" w:cs="Arial"/>
          <w:b/>
          <w:bCs/>
        </w:rPr>
      </w:pPr>
      <w:r>
        <w:rPr>
          <w:rFonts w:eastAsia="Times New Roman" w:cstheme="minorHAnsi"/>
          <w:b/>
          <w:bCs/>
          <w:color w:val="4472C4" w:themeColor="accent1"/>
          <w:sz w:val="20"/>
          <w:szCs w:val="20"/>
          <w:lang w:eastAsia="en-GB"/>
        </w:rPr>
        <w:br w:type="page"/>
      </w:r>
    </w:p>
    <w:p w14:paraId="4B4F7311" w14:textId="2CE66001" w:rsidR="006E46DC" w:rsidRPr="007E74C0" w:rsidRDefault="006E46DC" w:rsidP="006E46DC">
      <w:pPr>
        <w:spacing w:after="0" w:line="336" w:lineRule="atLeast"/>
        <w:rPr>
          <w:rFonts w:ascii="Arial" w:eastAsia="Times New Roman" w:hAnsi="Arial" w:cs="Arial"/>
          <w:b/>
          <w:bCs/>
          <w:color w:val="4472C4" w:themeColor="accent1"/>
          <w:sz w:val="20"/>
          <w:szCs w:val="20"/>
          <w:lang w:eastAsia="en-GB"/>
        </w:rPr>
      </w:pPr>
      <w:r w:rsidRPr="007E74C0">
        <w:rPr>
          <w:rFonts w:ascii="Arial" w:eastAsia="Times New Roman" w:hAnsi="Arial" w:cs="Arial"/>
          <w:b/>
          <w:bCs/>
          <w:color w:val="4472C4" w:themeColor="accent1"/>
          <w:sz w:val="20"/>
          <w:szCs w:val="20"/>
          <w:lang w:eastAsia="en-GB"/>
        </w:rPr>
        <w:lastRenderedPageBreak/>
        <w:t>9.</w:t>
      </w:r>
      <w:r w:rsidRPr="007E74C0">
        <w:rPr>
          <w:rFonts w:ascii="Arial" w:eastAsia="Times New Roman" w:hAnsi="Arial" w:cs="Arial"/>
          <w:b/>
          <w:bCs/>
          <w:color w:val="4472C4" w:themeColor="accent1"/>
          <w:sz w:val="20"/>
          <w:szCs w:val="20"/>
          <w:lang w:eastAsia="en-GB"/>
        </w:rPr>
        <w:tab/>
        <w:t>Income – Tuition Fees</w:t>
      </w:r>
    </w:p>
    <w:p w14:paraId="1B7BBC56" w14:textId="49456B9E" w:rsidR="006E46DC" w:rsidRPr="007E74C0" w:rsidRDefault="006E46DC" w:rsidP="006E46DC">
      <w:pPr>
        <w:spacing w:after="0" w:line="336" w:lineRule="atLeast"/>
        <w:rPr>
          <w:rFonts w:ascii="Arial" w:eastAsia="Times New Roman" w:hAnsi="Arial" w:cs="Arial"/>
          <w:color w:val="4472C4" w:themeColor="accent1"/>
          <w:sz w:val="20"/>
          <w:szCs w:val="20"/>
          <w:lang w:eastAsia="en-GB"/>
        </w:rPr>
      </w:pPr>
    </w:p>
    <w:p w14:paraId="0D1D7E4E" w14:textId="665A6671" w:rsidR="00F3579B" w:rsidRPr="007E74C0" w:rsidRDefault="00C12B9E" w:rsidP="00C12B9E">
      <w:pPr>
        <w:ind w:left="720" w:hanging="720"/>
        <w:jc w:val="both"/>
        <w:rPr>
          <w:rFonts w:ascii="Arial" w:hAnsi="Arial" w:cs="Arial"/>
          <w:sz w:val="20"/>
          <w:szCs w:val="20"/>
        </w:rPr>
      </w:pPr>
      <w:r w:rsidRPr="007E74C0">
        <w:rPr>
          <w:rFonts w:ascii="Arial" w:hAnsi="Arial" w:cs="Arial"/>
          <w:sz w:val="20"/>
          <w:szCs w:val="20"/>
        </w:rPr>
        <w:t>9.</w:t>
      </w:r>
      <w:r w:rsidR="00721A68">
        <w:rPr>
          <w:rFonts w:ascii="Arial" w:hAnsi="Arial" w:cs="Arial"/>
          <w:sz w:val="20"/>
          <w:szCs w:val="20"/>
        </w:rPr>
        <w:t>1</w:t>
      </w:r>
      <w:r w:rsidRPr="007E74C0">
        <w:rPr>
          <w:rFonts w:ascii="Arial" w:hAnsi="Arial" w:cs="Arial"/>
          <w:sz w:val="20"/>
          <w:szCs w:val="20"/>
        </w:rPr>
        <w:t>.1</w:t>
      </w:r>
      <w:r w:rsidRPr="007E74C0">
        <w:rPr>
          <w:rFonts w:ascii="Arial" w:hAnsi="Arial" w:cs="Arial"/>
          <w:sz w:val="20"/>
          <w:szCs w:val="20"/>
        </w:rPr>
        <w:tab/>
      </w:r>
      <w:r w:rsidR="00F3579B" w:rsidRPr="007E74C0">
        <w:rPr>
          <w:rFonts w:ascii="Arial" w:hAnsi="Arial" w:cs="Arial"/>
          <w:sz w:val="20"/>
          <w:szCs w:val="20"/>
        </w:rPr>
        <w:t>The generating of tuition fee invoices is driven by the student record</w:t>
      </w:r>
      <w:r w:rsidR="00AC1DE9" w:rsidRPr="007E74C0">
        <w:rPr>
          <w:rFonts w:ascii="Arial" w:hAnsi="Arial" w:cs="Arial"/>
          <w:sz w:val="20"/>
          <w:szCs w:val="20"/>
        </w:rPr>
        <w:t xml:space="preserve"> which is</w:t>
      </w:r>
      <w:r w:rsidR="00F3579B" w:rsidRPr="007E74C0">
        <w:rPr>
          <w:rFonts w:ascii="Arial" w:hAnsi="Arial" w:cs="Arial"/>
          <w:sz w:val="20"/>
          <w:szCs w:val="20"/>
        </w:rPr>
        <w:t xml:space="preserve"> maintained by Academic Registry. The student record </w:t>
      </w:r>
      <w:r w:rsidR="00AC1DE9" w:rsidRPr="007E74C0">
        <w:rPr>
          <w:rFonts w:ascii="Arial" w:hAnsi="Arial" w:cs="Arial"/>
          <w:sz w:val="20"/>
          <w:szCs w:val="20"/>
        </w:rPr>
        <w:t>is</w:t>
      </w:r>
      <w:r w:rsidR="00F3579B" w:rsidRPr="007E74C0">
        <w:rPr>
          <w:rFonts w:ascii="Arial" w:hAnsi="Arial" w:cs="Arial"/>
          <w:sz w:val="20"/>
          <w:szCs w:val="20"/>
        </w:rPr>
        <w:t xml:space="preserve"> assigned a fee flag that determines the value of the fee </w:t>
      </w:r>
      <w:r w:rsidR="00AC1DE9" w:rsidRPr="007E74C0">
        <w:rPr>
          <w:rFonts w:ascii="Arial" w:hAnsi="Arial" w:cs="Arial"/>
          <w:sz w:val="20"/>
          <w:szCs w:val="20"/>
        </w:rPr>
        <w:t>to be charged</w:t>
      </w:r>
      <w:r w:rsidR="00F3579B" w:rsidRPr="007E74C0">
        <w:rPr>
          <w:rFonts w:ascii="Arial" w:hAnsi="Arial" w:cs="Arial"/>
          <w:sz w:val="20"/>
          <w:szCs w:val="20"/>
        </w:rPr>
        <w:t xml:space="preserve"> for a particular academic year. The assigned fee flag is based on the student’s study scheme and domicile status i.e. Home/EU or International.</w:t>
      </w:r>
    </w:p>
    <w:p w14:paraId="214D5D12" w14:textId="155D55FA" w:rsidR="00F3579B" w:rsidRPr="007E74C0" w:rsidRDefault="00C12B9E" w:rsidP="00C12B9E">
      <w:pPr>
        <w:ind w:left="720" w:hanging="720"/>
        <w:jc w:val="both"/>
        <w:rPr>
          <w:rFonts w:ascii="Arial" w:hAnsi="Arial" w:cs="Arial"/>
          <w:sz w:val="20"/>
          <w:szCs w:val="20"/>
        </w:rPr>
      </w:pPr>
      <w:r w:rsidRPr="007E74C0">
        <w:rPr>
          <w:rFonts w:ascii="Arial" w:hAnsi="Arial" w:cs="Arial"/>
          <w:sz w:val="20"/>
          <w:szCs w:val="20"/>
        </w:rPr>
        <w:t>9.</w:t>
      </w:r>
      <w:r w:rsidR="00721A68">
        <w:rPr>
          <w:rFonts w:ascii="Arial" w:hAnsi="Arial" w:cs="Arial"/>
          <w:sz w:val="20"/>
          <w:szCs w:val="20"/>
        </w:rPr>
        <w:t>1</w:t>
      </w:r>
      <w:r w:rsidRPr="007E74C0">
        <w:rPr>
          <w:rFonts w:ascii="Arial" w:hAnsi="Arial" w:cs="Arial"/>
          <w:sz w:val="20"/>
          <w:szCs w:val="20"/>
        </w:rPr>
        <w:t>.2</w:t>
      </w:r>
      <w:r w:rsidRPr="007E74C0">
        <w:rPr>
          <w:rFonts w:ascii="Arial" w:hAnsi="Arial" w:cs="Arial"/>
          <w:sz w:val="20"/>
          <w:szCs w:val="20"/>
        </w:rPr>
        <w:tab/>
      </w:r>
      <w:r w:rsidR="00F3579B" w:rsidRPr="007E74C0">
        <w:rPr>
          <w:rFonts w:ascii="Arial" w:hAnsi="Arial" w:cs="Arial"/>
          <w:sz w:val="20"/>
          <w:szCs w:val="20"/>
        </w:rPr>
        <w:t xml:space="preserve">A tuition fee invoice transaction is </w:t>
      </w:r>
      <w:r w:rsidR="00AF0A0A" w:rsidRPr="007E74C0">
        <w:rPr>
          <w:rFonts w:ascii="Arial" w:hAnsi="Arial" w:cs="Arial"/>
          <w:sz w:val="20"/>
          <w:szCs w:val="20"/>
        </w:rPr>
        <w:t xml:space="preserve">automatically </w:t>
      </w:r>
      <w:r w:rsidR="00F3579B" w:rsidRPr="007E74C0">
        <w:rPr>
          <w:rFonts w:ascii="Arial" w:hAnsi="Arial" w:cs="Arial"/>
          <w:sz w:val="20"/>
          <w:szCs w:val="20"/>
        </w:rPr>
        <w:t xml:space="preserve">generated </w:t>
      </w:r>
      <w:r w:rsidR="00AF0A0A" w:rsidRPr="007E74C0">
        <w:rPr>
          <w:rFonts w:ascii="Arial" w:hAnsi="Arial" w:cs="Arial"/>
          <w:sz w:val="20"/>
          <w:szCs w:val="20"/>
        </w:rPr>
        <w:t xml:space="preserve">when </w:t>
      </w:r>
      <w:r w:rsidR="000610EF" w:rsidRPr="007E74C0">
        <w:rPr>
          <w:rFonts w:ascii="Arial" w:hAnsi="Arial" w:cs="Arial"/>
          <w:sz w:val="20"/>
          <w:szCs w:val="20"/>
        </w:rPr>
        <w:t xml:space="preserve">the student registers and the </w:t>
      </w:r>
      <w:r w:rsidR="00AF0A0A" w:rsidRPr="007E74C0">
        <w:rPr>
          <w:rFonts w:ascii="Arial" w:hAnsi="Arial" w:cs="Arial"/>
          <w:sz w:val="20"/>
          <w:szCs w:val="20"/>
        </w:rPr>
        <w:t>registration flag is updated</w:t>
      </w:r>
      <w:r w:rsidR="000610EF" w:rsidRPr="007E74C0">
        <w:rPr>
          <w:rFonts w:ascii="Arial" w:hAnsi="Arial" w:cs="Arial"/>
          <w:sz w:val="20"/>
          <w:szCs w:val="20"/>
        </w:rPr>
        <w:t xml:space="preserve"> on the student record. The value of the invoice will be determined by the assigned fee flag and value held on the fee flag table for the current academic year.</w:t>
      </w:r>
    </w:p>
    <w:p w14:paraId="74BC03C6" w14:textId="08E68527" w:rsidR="001D44E1" w:rsidRPr="007E74C0" w:rsidRDefault="00C12B9E" w:rsidP="00C12B9E">
      <w:pPr>
        <w:ind w:left="720" w:hanging="720"/>
        <w:jc w:val="both"/>
        <w:rPr>
          <w:rFonts w:ascii="Arial" w:hAnsi="Arial" w:cs="Arial"/>
          <w:sz w:val="20"/>
          <w:szCs w:val="20"/>
        </w:rPr>
      </w:pPr>
      <w:r w:rsidRPr="007E74C0">
        <w:rPr>
          <w:rFonts w:ascii="Arial" w:hAnsi="Arial" w:cs="Arial"/>
          <w:sz w:val="20"/>
          <w:szCs w:val="20"/>
        </w:rPr>
        <w:t>9.</w:t>
      </w:r>
      <w:r w:rsidR="00721A68">
        <w:rPr>
          <w:rFonts w:ascii="Arial" w:hAnsi="Arial" w:cs="Arial"/>
          <w:sz w:val="20"/>
          <w:szCs w:val="20"/>
        </w:rPr>
        <w:t>1</w:t>
      </w:r>
      <w:r w:rsidRPr="007E74C0">
        <w:rPr>
          <w:rFonts w:ascii="Arial" w:hAnsi="Arial" w:cs="Arial"/>
          <w:sz w:val="20"/>
          <w:szCs w:val="20"/>
        </w:rPr>
        <w:t>.3</w:t>
      </w:r>
      <w:r w:rsidRPr="007E74C0">
        <w:rPr>
          <w:rFonts w:ascii="Arial" w:hAnsi="Arial" w:cs="Arial"/>
          <w:sz w:val="20"/>
          <w:szCs w:val="20"/>
        </w:rPr>
        <w:tab/>
      </w:r>
      <w:r w:rsidR="001D44E1" w:rsidRPr="007E74C0">
        <w:rPr>
          <w:rFonts w:ascii="Arial" w:hAnsi="Arial" w:cs="Arial"/>
          <w:sz w:val="20"/>
          <w:szCs w:val="20"/>
        </w:rPr>
        <w:t>An Accounts Receivable account is assigned to every student based on the student record reference number recording all invoiced transactions including tuition fees, accommodation fees and supplementary invoices.</w:t>
      </w:r>
    </w:p>
    <w:p w14:paraId="6B5FC4A5" w14:textId="1C1D7BD0" w:rsidR="001D44E1" w:rsidRPr="007E74C0" w:rsidRDefault="00C12B9E" w:rsidP="00C12B9E">
      <w:pPr>
        <w:ind w:left="720" w:hanging="720"/>
        <w:jc w:val="both"/>
        <w:rPr>
          <w:rFonts w:ascii="Arial" w:hAnsi="Arial" w:cs="Arial"/>
          <w:sz w:val="20"/>
          <w:szCs w:val="20"/>
        </w:rPr>
      </w:pPr>
      <w:r w:rsidRPr="007E74C0">
        <w:rPr>
          <w:rFonts w:ascii="Arial" w:hAnsi="Arial" w:cs="Arial"/>
          <w:sz w:val="20"/>
          <w:szCs w:val="20"/>
        </w:rPr>
        <w:t>9.</w:t>
      </w:r>
      <w:r w:rsidR="00721A68">
        <w:rPr>
          <w:rFonts w:ascii="Arial" w:hAnsi="Arial" w:cs="Arial"/>
          <w:sz w:val="20"/>
          <w:szCs w:val="20"/>
        </w:rPr>
        <w:t>1</w:t>
      </w:r>
      <w:r w:rsidRPr="007E74C0">
        <w:rPr>
          <w:rFonts w:ascii="Arial" w:hAnsi="Arial" w:cs="Arial"/>
          <w:sz w:val="20"/>
          <w:szCs w:val="20"/>
        </w:rPr>
        <w:t>.4</w:t>
      </w:r>
      <w:r w:rsidRPr="007E74C0">
        <w:rPr>
          <w:rFonts w:ascii="Arial" w:hAnsi="Arial" w:cs="Arial"/>
          <w:sz w:val="20"/>
          <w:szCs w:val="20"/>
        </w:rPr>
        <w:tab/>
      </w:r>
      <w:r w:rsidR="001D44E1" w:rsidRPr="007E74C0">
        <w:rPr>
          <w:rFonts w:ascii="Arial" w:hAnsi="Arial" w:cs="Arial"/>
          <w:sz w:val="20"/>
          <w:szCs w:val="20"/>
        </w:rPr>
        <w:t>Every automatically generated tuition fee transaction will include the following data fields from the student record:</w:t>
      </w:r>
    </w:p>
    <w:p w14:paraId="50D75B6A" w14:textId="6571AB4E" w:rsidR="001D44E1" w:rsidRPr="007E74C0" w:rsidRDefault="001D44E1" w:rsidP="000D1399">
      <w:pPr>
        <w:spacing w:after="0" w:line="240" w:lineRule="auto"/>
        <w:ind w:firstLine="720"/>
        <w:jc w:val="both"/>
        <w:rPr>
          <w:rFonts w:ascii="Arial" w:hAnsi="Arial" w:cs="Arial"/>
          <w:sz w:val="20"/>
          <w:szCs w:val="20"/>
        </w:rPr>
      </w:pPr>
      <w:r w:rsidRPr="007E74C0">
        <w:rPr>
          <w:rFonts w:ascii="Arial" w:hAnsi="Arial" w:cs="Arial"/>
          <w:sz w:val="20"/>
          <w:szCs w:val="20"/>
        </w:rPr>
        <w:t>Cat 3 – Sponsor</w:t>
      </w:r>
    </w:p>
    <w:p w14:paraId="1FFB288E" w14:textId="41E54D96" w:rsidR="001D44E1" w:rsidRPr="007E74C0" w:rsidRDefault="001D44E1" w:rsidP="000D1399">
      <w:pPr>
        <w:spacing w:after="0" w:line="240" w:lineRule="auto"/>
        <w:ind w:firstLine="720"/>
        <w:jc w:val="both"/>
        <w:rPr>
          <w:rFonts w:ascii="Arial" w:hAnsi="Arial" w:cs="Arial"/>
          <w:sz w:val="20"/>
          <w:szCs w:val="20"/>
        </w:rPr>
      </w:pPr>
      <w:r w:rsidRPr="007E74C0">
        <w:rPr>
          <w:rFonts w:ascii="Arial" w:hAnsi="Arial" w:cs="Arial"/>
          <w:sz w:val="20"/>
          <w:szCs w:val="20"/>
        </w:rPr>
        <w:t>Cat 5 – Fee Flag</w:t>
      </w:r>
    </w:p>
    <w:p w14:paraId="14DE41A5" w14:textId="165DECE4" w:rsidR="001D44E1" w:rsidRPr="007E74C0" w:rsidRDefault="001D44E1" w:rsidP="000D1399">
      <w:pPr>
        <w:spacing w:after="0" w:line="240" w:lineRule="auto"/>
        <w:ind w:firstLine="720"/>
        <w:jc w:val="both"/>
        <w:rPr>
          <w:rFonts w:ascii="Arial" w:hAnsi="Arial" w:cs="Arial"/>
          <w:sz w:val="20"/>
          <w:szCs w:val="20"/>
        </w:rPr>
      </w:pPr>
      <w:r w:rsidRPr="007E74C0">
        <w:rPr>
          <w:rFonts w:ascii="Arial" w:hAnsi="Arial" w:cs="Arial"/>
          <w:sz w:val="20"/>
          <w:szCs w:val="20"/>
        </w:rPr>
        <w:t>Cat 6 – Fee Type</w:t>
      </w:r>
    </w:p>
    <w:p w14:paraId="0798B294" w14:textId="08079BBB" w:rsidR="000D1399" w:rsidRPr="007E74C0" w:rsidRDefault="001D44E1" w:rsidP="000D1399">
      <w:pPr>
        <w:spacing w:after="0" w:line="240" w:lineRule="auto"/>
        <w:ind w:firstLine="720"/>
        <w:jc w:val="both"/>
        <w:rPr>
          <w:rFonts w:ascii="Arial" w:hAnsi="Arial" w:cs="Arial"/>
          <w:sz w:val="20"/>
          <w:szCs w:val="20"/>
        </w:rPr>
      </w:pPr>
      <w:r w:rsidRPr="007E74C0">
        <w:rPr>
          <w:rFonts w:ascii="Arial" w:hAnsi="Arial" w:cs="Arial"/>
          <w:sz w:val="20"/>
          <w:szCs w:val="20"/>
        </w:rPr>
        <w:t>Cat 7 – Academic Year</w:t>
      </w:r>
    </w:p>
    <w:p w14:paraId="448B79D5" w14:textId="35CDACBB" w:rsidR="001D44E1" w:rsidRPr="007E74C0" w:rsidRDefault="001D44E1" w:rsidP="001D44E1">
      <w:pPr>
        <w:spacing w:after="0" w:line="240" w:lineRule="auto"/>
        <w:jc w:val="both"/>
        <w:rPr>
          <w:rFonts w:ascii="Arial" w:hAnsi="Arial" w:cs="Arial"/>
          <w:sz w:val="20"/>
          <w:szCs w:val="20"/>
        </w:rPr>
      </w:pPr>
    </w:p>
    <w:p w14:paraId="4ADC5BBF" w14:textId="186ECE6C" w:rsidR="00486320" w:rsidRPr="007E74C0" w:rsidRDefault="00B07A62" w:rsidP="00B07A62">
      <w:pPr>
        <w:spacing w:after="0" w:line="240" w:lineRule="auto"/>
        <w:ind w:left="720" w:hanging="720"/>
        <w:jc w:val="both"/>
        <w:rPr>
          <w:rFonts w:ascii="Arial" w:hAnsi="Arial" w:cs="Arial"/>
          <w:sz w:val="20"/>
          <w:szCs w:val="20"/>
        </w:rPr>
      </w:pPr>
      <w:r w:rsidRPr="007E74C0">
        <w:rPr>
          <w:rFonts w:ascii="Arial" w:hAnsi="Arial" w:cs="Arial"/>
          <w:sz w:val="20"/>
          <w:szCs w:val="20"/>
        </w:rPr>
        <w:t>9.</w:t>
      </w:r>
      <w:r w:rsidR="00721A68">
        <w:rPr>
          <w:rFonts w:ascii="Arial" w:hAnsi="Arial" w:cs="Arial"/>
          <w:sz w:val="20"/>
          <w:szCs w:val="20"/>
        </w:rPr>
        <w:t>1</w:t>
      </w:r>
      <w:r w:rsidRPr="007E74C0">
        <w:rPr>
          <w:rFonts w:ascii="Arial" w:hAnsi="Arial" w:cs="Arial"/>
          <w:sz w:val="20"/>
          <w:szCs w:val="20"/>
        </w:rPr>
        <w:t>.5</w:t>
      </w:r>
      <w:r w:rsidRPr="007E74C0">
        <w:rPr>
          <w:rFonts w:ascii="Arial" w:hAnsi="Arial" w:cs="Arial"/>
          <w:sz w:val="20"/>
          <w:szCs w:val="20"/>
        </w:rPr>
        <w:tab/>
      </w:r>
      <w:r w:rsidR="001D44E1" w:rsidRPr="007E74C0">
        <w:rPr>
          <w:rFonts w:ascii="Arial" w:hAnsi="Arial" w:cs="Arial"/>
          <w:sz w:val="20"/>
          <w:szCs w:val="20"/>
        </w:rPr>
        <w:t>The sponsor field will always default to “SELF”</w:t>
      </w:r>
      <w:r w:rsidR="00BD0045" w:rsidRPr="007E74C0">
        <w:rPr>
          <w:rFonts w:ascii="Arial" w:hAnsi="Arial" w:cs="Arial"/>
          <w:sz w:val="20"/>
          <w:szCs w:val="20"/>
        </w:rPr>
        <w:t xml:space="preserve"> meaning that the liability is that of the student. Where s</w:t>
      </w:r>
      <w:r w:rsidR="00486320" w:rsidRPr="007E74C0">
        <w:rPr>
          <w:rFonts w:ascii="Arial" w:hAnsi="Arial" w:cs="Arial"/>
          <w:sz w:val="20"/>
          <w:szCs w:val="20"/>
        </w:rPr>
        <w:t>tudents have applied for tuition fee support via Student Finance</w:t>
      </w:r>
      <w:r w:rsidR="00BD0045" w:rsidRPr="007E74C0">
        <w:rPr>
          <w:rFonts w:ascii="Arial" w:hAnsi="Arial" w:cs="Arial"/>
          <w:sz w:val="20"/>
          <w:szCs w:val="20"/>
        </w:rPr>
        <w:t>,</w:t>
      </w:r>
      <w:r w:rsidR="00486320" w:rsidRPr="007E74C0">
        <w:rPr>
          <w:rFonts w:ascii="Arial" w:hAnsi="Arial" w:cs="Arial"/>
          <w:sz w:val="20"/>
          <w:szCs w:val="20"/>
        </w:rPr>
        <w:t xml:space="preserve"> </w:t>
      </w:r>
      <w:r w:rsidR="00BD0045" w:rsidRPr="007E74C0">
        <w:rPr>
          <w:rFonts w:ascii="Arial" w:hAnsi="Arial" w:cs="Arial"/>
          <w:sz w:val="20"/>
          <w:szCs w:val="20"/>
        </w:rPr>
        <w:t>t</w:t>
      </w:r>
      <w:r w:rsidR="00486320" w:rsidRPr="007E74C0">
        <w:rPr>
          <w:rFonts w:ascii="Arial" w:hAnsi="Arial" w:cs="Arial"/>
          <w:sz w:val="20"/>
          <w:szCs w:val="20"/>
        </w:rPr>
        <w:t xml:space="preserve">he University receives electronic confirmation of tuition fee funding for eligible students. </w:t>
      </w:r>
      <w:r w:rsidR="00BD0045" w:rsidRPr="007E74C0">
        <w:rPr>
          <w:rFonts w:ascii="Arial" w:hAnsi="Arial" w:cs="Arial"/>
          <w:sz w:val="20"/>
          <w:szCs w:val="20"/>
        </w:rPr>
        <w:t>Where confirmation of Student Finance funding is held, a subsequent set of transactions are automatically generated to credit the original transaction and generate a new transaction where the ‘Cat 3 – Sponsor’ field is recorded as SLC. The liability for the tuition fees is then transferred from the student to the Student Loans Company.</w:t>
      </w:r>
    </w:p>
    <w:p w14:paraId="6D9B94AF" w14:textId="04A3E880" w:rsidR="00B07A62" w:rsidRPr="007E74C0" w:rsidRDefault="00B07A62" w:rsidP="00B07A62">
      <w:pPr>
        <w:spacing w:after="0" w:line="240" w:lineRule="auto"/>
        <w:ind w:left="720" w:hanging="720"/>
        <w:jc w:val="both"/>
        <w:rPr>
          <w:rFonts w:ascii="Arial" w:hAnsi="Arial" w:cs="Arial"/>
          <w:sz w:val="20"/>
          <w:szCs w:val="20"/>
        </w:rPr>
      </w:pPr>
    </w:p>
    <w:p w14:paraId="22C74DA1" w14:textId="6CAF96A4" w:rsidR="00BD0045" w:rsidRPr="007E74C0" w:rsidRDefault="00B07A62" w:rsidP="00B07A62">
      <w:pPr>
        <w:spacing w:after="0" w:line="240" w:lineRule="auto"/>
        <w:ind w:left="720" w:hanging="720"/>
        <w:jc w:val="both"/>
        <w:rPr>
          <w:rFonts w:ascii="Arial" w:hAnsi="Arial" w:cs="Arial"/>
          <w:sz w:val="20"/>
          <w:szCs w:val="20"/>
        </w:rPr>
      </w:pPr>
      <w:r w:rsidRPr="007E74C0">
        <w:rPr>
          <w:rFonts w:ascii="Arial" w:hAnsi="Arial" w:cs="Arial"/>
          <w:sz w:val="20"/>
          <w:szCs w:val="20"/>
        </w:rPr>
        <w:t>9.</w:t>
      </w:r>
      <w:r w:rsidR="00721A68">
        <w:rPr>
          <w:rFonts w:ascii="Arial" w:hAnsi="Arial" w:cs="Arial"/>
          <w:sz w:val="20"/>
          <w:szCs w:val="20"/>
        </w:rPr>
        <w:t>1</w:t>
      </w:r>
      <w:r w:rsidRPr="007E74C0">
        <w:rPr>
          <w:rFonts w:ascii="Arial" w:hAnsi="Arial" w:cs="Arial"/>
          <w:sz w:val="20"/>
          <w:szCs w:val="20"/>
        </w:rPr>
        <w:t>.6</w:t>
      </w:r>
      <w:r w:rsidRPr="007E74C0">
        <w:rPr>
          <w:rFonts w:ascii="Arial" w:hAnsi="Arial" w:cs="Arial"/>
          <w:sz w:val="20"/>
          <w:szCs w:val="20"/>
        </w:rPr>
        <w:tab/>
      </w:r>
      <w:r w:rsidR="00BD0045" w:rsidRPr="007E74C0">
        <w:rPr>
          <w:rFonts w:ascii="Arial" w:hAnsi="Arial" w:cs="Arial"/>
          <w:sz w:val="20"/>
          <w:szCs w:val="20"/>
        </w:rPr>
        <w:t xml:space="preserve">This data remains subject to change and the liability for tuition fees can return to the student at any point </w:t>
      </w:r>
      <w:r w:rsidR="005665A9" w:rsidRPr="007E74C0">
        <w:rPr>
          <w:rFonts w:ascii="Arial" w:hAnsi="Arial" w:cs="Arial"/>
          <w:sz w:val="20"/>
          <w:szCs w:val="20"/>
        </w:rPr>
        <w:t>including future years</w:t>
      </w:r>
      <w:r w:rsidR="00BD0045" w:rsidRPr="007E74C0">
        <w:rPr>
          <w:rFonts w:ascii="Arial" w:hAnsi="Arial" w:cs="Arial"/>
          <w:sz w:val="20"/>
          <w:szCs w:val="20"/>
        </w:rPr>
        <w:t xml:space="preserve"> </w:t>
      </w:r>
      <w:r w:rsidRPr="007E74C0">
        <w:rPr>
          <w:rFonts w:ascii="Arial" w:hAnsi="Arial" w:cs="Arial"/>
          <w:sz w:val="20"/>
          <w:szCs w:val="20"/>
        </w:rPr>
        <w:t>.</w:t>
      </w:r>
    </w:p>
    <w:p w14:paraId="577EA40F" w14:textId="3068C198" w:rsidR="00B07A62" w:rsidRPr="007E74C0" w:rsidRDefault="00B07A62" w:rsidP="00B07A62">
      <w:pPr>
        <w:spacing w:after="0" w:line="240" w:lineRule="auto"/>
        <w:ind w:left="720" w:hanging="720"/>
        <w:jc w:val="both"/>
        <w:rPr>
          <w:rFonts w:ascii="Arial" w:hAnsi="Arial" w:cs="Arial"/>
          <w:sz w:val="20"/>
          <w:szCs w:val="20"/>
        </w:rPr>
      </w:pPr>
    </w:p>
    <w:p w14:paraId="70CF0A44" w14:textId="6B6C4C5A" w:rsidR="000D1399" w:rsidRPr="007E74C0" w:rsidRDefault="00B07A62" w:rsidP="00B07A62">
      <w:pPr>
        <w:spacing w:after="0" w:line="240" w:lineRule="auto"/>
        <w:ind w:left="720" w:hanging="720"/>
        <w:jc w:val="both"/>
        <w:rPr>
          <w:rFonts w:ascii="Arial" w:hAnsi="Arial" w:cs="Arial"/>
          <w:sz w:val="20"/>
          <w:szCs w:val="20"/>
        </w:rPr>
      </w:pPr>
      <w:r w:rsidRPr="007E74C0">
        <w:rPr>
          <w:rFonts w:ascii="Arial" w:hAnsi="Arial" w:cs="Arial"/>
          <w:sz w:val="20"/>
          <w:szCs w:val="20"/>
        </w:rPr>
        <w:t>9.</w:t>
      </w:r>
      <w:r w:rsidR="00721A68">
        <w:rPr>
          <w:rFonts w:ascii="Arial" w:hAnsi="Arial" w:cs="Arial"/>
          <w:sz w:val="20"/>
          <w:szCs w:val="20"/>
        </w:rPr>
        <w:t>1</w:t>
      </w:r>
      <w:r w:rsidRPr="007E74C0">
        <w:rPr>
          <w:rFonts w:ascii="Arial" w:hAnsi="Arial" w:cs="Arial"/>
          <w:sz w:val="20"/>
          <w:szCs w:val="20"/>
        </w:rPr>
        <w:t>.7</w:t>
      </w:r>
      <w:r w:rsidRPr="007E74C0">
        <w:rPr>
          <w:rFonts w:ascii="Arial" w:hAnsi="Arial" w:cs="Arial"/>
          <w:sz w:val="20"/>
          <w:szCs w:val="20"/>
        </w:rPr>
        <w:tab/>
      </w:r>
      <w:r w:rsidR="00486320" w:rsidRPr="007E74C0">
        <w:rPr>
          <w:rFonts w:ascii="Arial" w:hAnsi="Arial" w:cs="Arial"/>
          <w:sz w:val="20"/>
          <w:szCs w:val="20"/>
        </w:rPr>
        <w:t>Postgraduate students who have applied for a tuition fee loan will be considered self-funding as the loan payments are issued</w:t>
      </w:r>
      <w:r w:rsidR="00117C01" w:rsidRPr="007E74C0">
        <w:rPr>
          <w:rFonts w:ascii="Arial" w:hAnsi="Arial" w:cs="Arial"/>
          <w:sz w:val="20"/>
          <w:szCs w:val="20"/>
        </w:rPr>
        <w:t xml:space="preserve"> directly</w:t>
      </w:r>
      <w:r w:rsidR="00486320" w:rsidRPr="007E74C0">
        <w:rPr>
          <w:rFonts w:ascii="Arial" w:hAnsi="Arial" w:cs="Arial"/>
          <w:sz w:val="20"/>
          <w:szCs w:val="20"/>
        </w:rPr>
        <w:t xml:space="preserve"> to the student</w:t>
      </w:r>
      <w:r w:rsidR="00117C01" w:rsidRPr="007E74C0">
        <w:rPr>
          <w:rFonts w:ascii="Arial" w:hAnsi="Arial" w:cs="Arial"/>
          <w:sz w:val="20"/>
          <w:szCs w:val="20"/>
        </w:rPr>
        <w:t>,</w:t>
      </w:r>
      <w:r w:rsidR="00486320" w:rsidRPr="007E74C0">
        <w:rPr>
          <w:rFonts w:ascii="Arial" w:hAnsi="Arial" w:cs="Arial"/>
          <w:sz w:val="20"/>
          <w:szCs w:val="20"/>
        </w:rPr>
        <w:t xml:space="preserve"> </w:t>
      </w:r>
      <w:r w:rsidR="00117C01" w:rsidRPr="007E74C0">
        <w:rPr>
          <w:rFonts w:ascii="Arial" w:hAnsi="Arial" w:cs="Arial"/>
          <w:sz w:val="20"/>
          <w:szCs w:val="20"/>
        </w:rPr>
        <w:t>not</w:t>
      </w:r>
      <w:r w:rsidR="00486320" w:rsidRPr="007E74C0">
        <w:rPr>
          <w:rFonts w:ascii="Arial" w:hAnsi="Arial" w:cs="Arial"/>
          <w:sz w:val="20"/>
          <w:szCs w:val="20"/>
        </w:rPr>
        <w:t xml:space="preserve"> to the University, </w:t>
      </w:r>
      <w:r w:rsidR="00117C01" w:rsidRPr="007E74C0">
        <w:rPr>
          <w:rFonts w:ascii="Arial" w:hAnsi="Arial" w:cs="Arial"/>
          <w:sz w:val="20"/>
          <w:szCs w:val="20"/>
        </w:rPr>
        <w:t>unlike</w:t>
      </w:r>
      <w:r w:rsidR="00486320" w:rsidRPr="007E74C0">
        <w:rPr>
          <w:rFonts w:ascii="Arial" w:hAnsi="Arial" w:cs="Arial"/>
          <w:sz w:val="20"/>
          <w:szCs w:val="20"/>
        </w:rPr>
        <w:t xml:space="preserve"> undergraduate and PGCE tuition fee support.  </w:t>
      </w:r>
    </w:p>
    <w:p w14:paraId="1B9016E2" w14:textId="01CA89A9" w:rsidR="00B07A62" w:rsidRPr="007E74C0" w:rsidRDefault="00B07A62" w:rsidP="00B07A62">
      <w:pPr>
        <w:spacing w:after="0" w:line="240" w:lineRule="auto"/>
        <w:ind w:left="720" w:hanging="720"/>
        <w:jc w:val="both"/>
        <w:rPr>
          <w:rFonts w:ascii="Arial" w:hAnsi="Arial" w:cs="Arial"/>
          <w:sz w:val="20"/>
          <w:szCs w:val="20"/>
        </w:rPr>
      </w:pPr>
    </w:p>
    <w:p w14:paraId="20E18451" w14:textId="5FE47D8C" w:rsidR="000D1399" w:rsidRPr="007E74C0" w:rsidRDefault="00B07A62" w:rsidP="00B07A62">
      <w:pPr>
        <w:spacing w:after="0" w:line="240" w:lineRule="auto"/>
        <w:ind w:left="720" w:hanging="720"/>
        <w:jc w:val="both"/>
        <w:rPr>
          <w:rFonts w:ascii="Arial" w:hAnsi="Arial" w:cs="Arial"/>
          <w:sz w:val="20"/>
          <w:szCs w:val="20"/>
        </w:rPr>
      </w:pPr>
      <w:r w:rsidRPr="007E74C0">
        <w:rPr>
          <w:rFonts w:ascii="Arial" w:hAnsi="Arial" w:cs="Arial"/>
          <w:sz w:val="20"/>
          <w:szCs w:val="20"/>
        </w:rPr>
        <w:t>9.</w:t>
      </w:r>
      <w:r w:rsidR="00721A68">
        <w:rPr>
          <w:rFonts w:ascii="Arial" w:hAnsi="Arial" w:cs="Arial"/>
          <w:sz w:val="20"/>
          <w:szCs w:val="20"/>
        </w:rPr>
        <w:t>1</w:t>
      </w:r>
      <w:r w:rsidRPr="007E74C0">
        <w:rPr>
          <w:rFonts w:ascii="Arial" w:hAnsi="Arial" w:cs="Arial"/>
          <w:sz w:val="20"/>
          <w:szCs w:val="20"/>
        </w:rPr>
        <w:t>.8</w:t>
      </w:r>
      <w:r w:rsidRPr="007E74C0">
        <w:rPr>
          <w:rFonts w:ascii="Arial" w:hAnsi="Arial" w:cs="Arial"/>
          <w:sz w:val="20"/>
          <w:szCs w:val="20"/>
        </w:rPr>
        <w:tab/>
      </w:r>
      <w:r w:rsidR="00486320" w:rsidRPr="007E74C0">
        <w:rPr>
          <w:rFonts w:ascii="Arial" w:hAnsi="Arial" w:cs="Arial"/>
          <w:sz w:val="20"/>
          <w:szCs w:val="20"/>
        </w:rPr>
        <w:t>Self-funded students are required to pay the annual tuition fees in full by 1</w:t>
      </w:r>
      <w:r w:rsidR="00486320" w:rsidRPr="007E74C0">
        <w:rPr>
          <w:rFonts w:ascii="Arial" w:hAnsi="Arial" w:cs="Arial"/>
          <w:sz w:val="20"/>
          <w:szCs w:val="20"/>
          <w:vertAlign w:val="superscript"/>
        </w:rPr>
        <w:t>st</w:t>
      </w:r>
      <w:r w:rsidR="00486320" w:rsidRPr="007E74C0">
        <w:rPr>
          <w:rFonts w:ascii="Arial" w:hAnsi="Arial" w:cs="Arial"/>
          <w:sz w:val="20"/>
          <w:szCs w:val="20"/>
        </w:rPr>
        <w:t xml:space="preserve"> October or via </w:t>
      </w:r>
      <w:r w:rsidR="00AC1DE9" w:rsidRPr="007E74C0">
        <w:rPr>
          <w:rFonts w:ascii="Arial" w:hAnsi="Arial" w:cs="Arial"/>
          <w:sz w:val="20"/>
          <w:szCs w:val="20"/>
        </w:rPr>
        <w:t xml:space="preserve">a </w:t>
      </w:r>
      <w:r w:rsidR="00486320" w:rsidRPr="007E74C0">
        <w:rPr>
          <w:rFonts w:ascii="Arial" w:hAnsi="Arial" w:cs="Arial"/>
          <w:sz w:val="20"/>
          <w:szCs w:val="20"/>
        </w:rPr>
        <w:t xml:space="preserve">recurring card payment instalment plan with a maximum of 3 or 4 instalments </w:t>
      </w:r>
      <w:r w:rsidR="00AC1DE9" w:rsidRPr="007E74C0">
        <w:rPr>
          <w:rFonts w:ascii="Arial" w:hAnsi="Arial" w:cs="Arial"/>
          <w:sz w:val="20"/>
          <w:szCs w:val="20"/>
        </w:rPr>
        <w:t>as appropriate for</w:t>
      </w:r>
      <w:r w:rsidR="00486320" w:rsidRPr="007E74C0">
        <w:rPr>
          <w:rFonts w:ascii="Arial" w:hAnsi="Arial" w:cs="Arial"/>
          <w:sz w:val="20"/>
          <w:szCs w:val="20"/>
        </w:rPr>
        <w:t xml:space="preserve"> the student and course category.  Postgraduate students in receipt of quarterly funding may pay in 4 instalments.  Those in receipt of a tuition fee loan should pay via 3 instalments to match the funding as the instalment dates are tailored accordingly.</w:t>
      </w:r>
    </w:p>
    <w:p w14:paraId="144B0AEE" w14:textId="1DEF0A47" w:rsidR="00B07A62" w:rsidRPr="007E74C0" w:rsidRDefault="00B07A62" w:rsidP="00B07A62">
      <w:pPr>
        <w:spacing w:after="0" w:line="240" w:lineRule="auto"/>
        <w:ind w:left="720" w:hanging="720"/>
        <w:jc w:val="both"/>
        <w:rPr>
          <w:rFonts w:ascii="Arial" w:hAnsi="Arial" w:cs="Arial"/>
          <w:sz w:val="20"/>
          <w:szCs w:val="20"/>
        </w:rPr>
      </w:pPr>
    </w:p>
    <w:p w14:paraId="435D90EB" w14:textId="3C8CCBB0" w:rsidR="00486320" w:rsidRPr="007E74C0" w:rsidRDefault="00B07A62" w:rsidP="00B07A62">
      <w:pPr>
        <w:spacing w:after="0" w:line="240" w:lineRule="auto"/>
        <w:ind w:left="720" w:hanging="720"/>
        <w:jc w:val="both"/>
        <w:rPr>
          <w:rFonts w:ascii="Arial" w:hAnsi="Arial" w:cs="Arial"/>
          <w:sz w:val="20"/>
          <w:szCs w:val="20"/>
        </w:rPr>
      </w:pPr>
      <w:r w:rsidRPr="007E74C0">
        <w:rPr>
          <w:rFonts w:ascii="Arial" w:hAnsi="Arial" w:cs="Arial"/>
          <w:sz w:val="20"/>
          <w:szCs w:val="20"/>
        </w:rPr>
        <w:t>9.</w:t>
      </w:r>
      <w:r w:rsidR="00721A68">
        <w:rPr>
          <w:rFonts w:ascii="Arial" w:hAnsi="Arial" w:cs="Arial"/>
          <w:sz w:val="20"/>
          <w:szCs w:val="20"/>
        </w:rPr>
        <w:t>1</w:t>
      </w:r>
      <w:r w:rsidRPr="007E74C0">
        <w:rPr>
          <w:rFonts w:ascii="Arial" w:hAnsi="Arial" w:cs="Arial"/>
          <w:sz w:val="20"/>
          <w:szCs w:val="20"/>
        </w:rPr>
        <w:t>.9</w:t>
      </w:r>
      <w:r w:rsidRPr="007E74C0">
        <w:rPr>
          <w:rFonts w:ascii="Arial" w:hAnsi="Arial" w:cs="Arial"/>
          <w:sz w:val="20"/>
          <w:szCs w:val="20"/>
        </w:rPr>
        <w:tab/>
      </w:r>
      <w:r w:rsidR="00FB6D60" w:rsidRPr="007E74C0">
        <w:rPr>
          <w:rFonts w:ascii="Arial" w:hAnsi="Arial" w:cs="Arial"/>
          <w:sz w:val="20"/>
          <w:szCs w:val="20"/>
        </w:rPr>
        <w:t xml:space="preserve">Where a student has secured sponsorship for the whole or part of the fee due, proof of sponsorship is required prior to registration. Where evidence of full sponsorship is received, the transaction sponsor field (Cat 3) will be updated from SELF to SPONS. </w:t>
      </w:r>
      <w:r w:rsidR="00486320" w:rsidRPr="007E74C0">
        <w:rPr>
          <w:rFonts w:ascii="Arial" w:hAnsi="Arial" w:cs="Arial"/>
          <w:sz w:val="20"/>
          <w:szCs w:val="20"/>
        </w:rPr>
        <w:t xml:space="preserve">Tuition fee sponsors are invoiced and </w:t>
      </w:r>
      <w:r w:rsidR="0061632F" w:rsidRPr="007E74C0">
        <w:rPr>
          <w:rFonts w:ascii="Arial" w:hAnsi="Arial" w:cs="Arial"/>
          <w:sz w:val="20"/>
          <w:szCs w:val="20"/>
        </w:rPr>
        <w:t xml:space="preserve">are </w:t>
      </w:r>
      <w:r w:rsidR="00486320" w:rsidRPr="007E74C0">
        <w:rPr>
          <w:rFonts w:ascii="Arial" w:hAnsi="Arial" w:cs="Arial"/>
          <w:sz w:val="20"/>
          <w:szCs w:val="20"/>
        </w:rPr>
        <w:t xml:space="preserve">subject to 30-day payment terms. </w:t>
      </w:r>
      <w:r w:rsidR="00FB6D60" w:rsidRPr="007E74C0">
        <w:rPr>
          <w:rFonts w:ascii="Arial" w:hAnsi="Arial" w:cs="Arial"/>
          <w:sz w:val="20"/>
          <w:szCs w:val="20"/>
        </w:rPr>
        <w:t xml:space="preserve">In the event of a </w:t>
      </w:r>
      <w:r w:rsidR="00486320" w:rsidRPr="007E74C0">
        <w:rPr>
          <w:rFonts w:ascii="Arial" w:hAnsi="Arial" w:cs="Arial"/>
          <w:sz w:val="20"/>
          <w:szCs w:val="20"/>
        </w:rPr>
        <w:t>sponsor default</w:t>
      </w:r>
      <w:r w:rsidR="00FB6D60" w:rsidRPr="007E74C0">
        <w:rPr>
          <w:rFonts w:ascii="Arial" w:hAnsi="Arial" w:cs="Arial"/>
          <w:sz w:val="20"/>
          <w:szCs w:val="20"/>
        </w:rPr>
        <w:t>ing</w:t>
      </w:r>
      <w:r w:rsidR="00486320" w:rsidRPr="007E74C0">
        <w:rPr>
          <w:rFonts w:ascii="Arial" w:hAnsi="Arial" w:cs="Arial"/>
          <w:sz w:val="20"/>
          <w:szCs w:val="20"/>
        </w:rPr>
        <w:t xml:space="preserve"> on </w:t>
      </w:r>
      <w:r w:rsidR="0061632F" w:rsidRPr="007E74C0">
        <w:rPr>
          <w:rFonts w:ascii="Arial" w:hAnsi="Arial" w:cs="Arial"/>
          <w:sz w:val="20"/>
          <w:szCs w:val="20"/>
        </w:rPr>
        <w:t>a</w:t>
      </w:r>
      <w:r w:rsidR="00486320" w:rsidRPr="007E74C0">
        <w:rPr>
          <w:rFonts w:ascii="Arial" w:hAnsi="Arial" w:cs="Arial"/>
          <w:sz w:val="20"/>
          <w:szCs w:val="20"/>
        </w:rPr>
        <w:t xml:space="preserve"> payment arrangement, </w:t>
      </w:r>
      <w:r w:rsidR="00FB6D60" w:rsidRPr="007E74C0">
        <w:rPr>
          <w:rFonts w:ascii="Arial" w:hAnsi="Arial" w:cs="Arial"/>
          <w:sz w:val="20"/>
          <w:szCs w:val="20"/>
        </w:rPr>
        <w:t xml:space="preserve">the liability for the tuition fees will then revert to the student </w:t>
      </w:r>
      <w:r w:rsidR="00486320" w:rsidRPr="007E74C0">
        <w:rPr>
          <w:rFonts w:ascii="Arial" w:hAnsi="Arial" w:cs="Arial"/>
          <w:sz w:val="20"/>
          <w:szCs w:val="20"/>
        </w:rPr>
        <w:t>who will be subject to the standard tuition fee collection process and</w:t>
      </w:r>
      <w:r w:rsidR="00FB6D60" w:rsidRPr="007E74C0">
        <w:rPr>
          <w:rFonts w:ascii="Arial" w:hAnsi="Arial" w:cs="Arial"/>
          <w:sz w:val="20"/>
          <w:szCs w:val="20"/>
        </w:rPr>
        <w:t xml:space="preserve"> </w:t>
      </w:r>
      <w:r w:rsidR="00486320" w:rsidRPr="007E74C0">
        <w:rPr>
          <w:rFonts w:ascii="Arial" w:hAnsi="Arial" w:cs="Arial"/>
          <w:sz w:val="20"/>
          <w:szCs w:val="20"/>
        </w:rPr>
        <w:t>sanctions</w:t>
      </w:r>
      <w:r w:rsidR="001F7860" w:rsidRPr="007E74C0">
        <w:rPr>
          <w:rFonts w:ascii="Arial" w:hAnsi="Arial" w:cs="Arial"/>
          <w:sz w:val="20"/>
          <w:szCs w:val="20"/>
        </w:rPr>
        <w:t xml:space="preserve"> as set out in the Fair Debt Collection Policy</w:t>
      </w:r>
      <w:r w:rsidR="00486320" w:rsidRPr="007E74C0">
        <w:rPr>
          <w:rFonts w:ascii="Arial" w:hAnsi="Arial" w:cs="Arial"/>
          <w:sz w:val="20"/>
          <w:szCs w:val="20"/>
        </w:rPr>
        <w:t>.</w:t>
      </w:r>
    </w:p>
    <w:p w14:paraId="00749EAE" w14:textId="14F82AAB" w:rsidR="00B07A62" w:rsidRPr="007E74C0" w:rsidRDefault="00B07A62" w:rsidP="00B07A62">
      <w:pPr>
        <w:spacing w:after="0" w:line="240" w:lineRule="auto"/>
        <w:ind w:left="720" w:hanging="720"/>
        <w:jc w:val="both"/>
        <w:rPr>
          <w:rFonts w:ascii="Arial" w:hAnsi="Arial" w:cs="Arial"/>
          <w:sz w:val="20"/>
          <w:szCs w:val="20"/>
        </w:rPr>
      </w:pPr>
    </w:p>
    <w:p w14:paraId="572A8F0F" w14:textId="3AC6AD6D" w:rsidR="007D20EC" w:rsidRPr="007E74C0" w:rsidRDefault="00B07A62" w:rsidP="00B07A62">
      <w:pPr>
        <w:spacing w:after="0" w:line="240" w:lineRule="auto"/>
        <w:ind w:left="720" w:hanging="720"/>
        <w:jc w:val="both"/>
        <w:rPr>
          <w:rFonts w:ascii="Arial" w:hAnsi="Arial" w:cs="Arial"/>
          <w:sz w:val="20"/>
          <w:szCs w:val="20"/>
        </w:rPr>
      </w:pPr>
      <w:r w:rsidRPr="007E74C0">
        <w:rPr>
          <w:rFonts w:ascii="Arial" w:hAnsi="Arial" w:cs="Arial"/>
          <w:sz w:val="20"/>
          <w:szCs w:val="20"/>
        </w:rPr>
        <w:t>9.</w:t>
      </w:r>
      <w:r w:rsidR="00721A68">
        <w:rPr>
          <w:rFonts w:ascii="Arial" w:hAnsi="Arial" w:cs="Arial"/>
          <w:sz w:val="20"/>
          <w:szCs w:val="20"/>
        </w:rPr>
        <w:t>1</w:t>
      </w:r>
      <w:r w:rsidRPr="007E74C0">
        <w:rPr>
          <w:rFonts w:ascii="Arial" w:hAnsi="Arial" w:cs="Arial"/>
          <w:sz w:val="20"/>
          <w:szCs w:val="20"/>
        </w:rPr>
        <w:t>.10</w:t>
      </w:r>
      <w:r w:rsidRPr="007E74C0">
        <w:rPr>
          <w:rFonts w:ascii="Arial" w:hAnsi="Arial" w:cs="Arial"/>
          <w:sz w:val="20"/>
          <w:szCs w:val="20"/>
        </w:rPr>
        <w:tab/>
      </w:r>
      <w:r w:rsidR="007D20EC" w:rsidRPr="007E74C0">
        <w:rPr>
          <w:rFonts w:ascii="Arial" w:eastAsia="Times New Roman" w:hAnsi="Arial" w:cs="Arial"/>
          <w:color w:val="000000"/>
          <w:sz w:val="20"/>
          <w:szCs w:val="20"/>
          <w:lang w:eastAsia="en-GB"/>
        </w:rPr>
        <w:t>Where a student has officially suspended or withdrawn from a programme of study,</w:t>
      </w:r>
      <w:r w:rsidR="00483AB5" w:rsidRPr="007E74C0">
        <w:rPr>
          <w:rFonts w:ascii="Arial" w:eastAsia="Times New Roman" w:hAnsi="Arial" w:cs="Arial"/>
          <w:color w:val="000000"/>
          <w:sz w:val="20"/>
          <w:szCs w:val="20"/>
          <w:lang w:eastAsia="en-GB"/>
        </w:rPr>
        <w:t xml:space="preserve"> </w:t>
      </w:r>
      <w:r w:rsidR="00AE6D37" w:rsidRPr="007E74C0">
        <w:rPr>
          <w:rFonts w:ascii="Arial" w:eastAsia="Times New Roman" w:hAnsi="Arial" w:cs="Arial"/>
          <w:color w:val="000000"/>
          <w:sz w:val="20"/>
          <w:szCs w:val="20"/>
          <w:lang w:eastAsia="en-GB"/>
        </w:rPr>
        <w:t>and</w:t>
      </w:r>
      <w:r w:rsidR="00483AB5" w:rsidRPr="007E74C0">
        <w:rPr>
          <w:rFonts w:ascii="Arial" w:eastAsia="Times New Roman" w:hAnsi="Arial" w:cs="Arial"/>
          <w:color w:val="000000"/>
          <w:sz w:val="20"/>
          <w:szCs w:val="20"/>
          <w:lang w:eastAsia="en-GB"/>
        </w:rPr>
        <w:t xml:space="preserve"> standard term dates apply,</w:t>
      </w:r>
      <w:r w:rsidR="007D20EC" w:rsidRPr="007E74C0">
        <w:rPr>
          <w:rFonts w:ascii="Arial" w:eastAsia="Times New Roman" w:hAnsi="Arial" w:cs="Arial"/>
          <w:color w:val="000000"/>
          <w:sz w:val="20"/>
          <w:szCs w:val="20"/>
          <w:lang w:eastAsia="en-GB"/>
        </w:rPr>
        <w:t xml:space="preserve"> </w:t>
      </w:r>
      <w:r w:rsidR="00483AB5" w:rsidRPr="007E74C0">
        <w:rPr>
          <w:rFonts w:ascii="Arial" w:eastAsia="Times New Roman" w:hAnsi="Arial" w:cs="Arial"/>
          <w:color w:val="000000"/>
          <w:sz w:val="20"/>
          <w:szCs w:val="20"/>
          <w:lang w:eastAsia="en-GB"/>
        </w:rPr>
        <w:t>a</w:t>
      </w:r>
      <w:r w:rsidR="007D20EC" w:rsidRPr="007E74C0">
        <w:rPr>
          <w:rFonts w:ascii="Arial" w:eastAsia="Times New Roman" w:hAnsi="Arial" w:cs="Arial"/>
          <w:color w:val="000000"/>
          <w:sz w:val="20"/>
          <w:szCs w:val="20"/>
          <w:lang w:eastAsia="en-GB"/>
        </w:rPr>
        <w:t xml:space="preserve"> reduction in the tuition fee liability</w:t>
      </w:r>
      <w:r w:rsidR="00483AB5" w:rsidRPr="007E74C0">
        <w:rPr>
          <w:rFonts w:ascii="Arial" w:eastAsia="Times New Roman" w:hAnsi="Arial" w:cs="Arial"/>
          <w:color w:val="000000"/>
          <w:sz w:val="20"/>
          <w:szCs w:val="20"/>
          <w:lang w:eastAsia="en-GB"/>
        </w:rPr>
        <w:t xml:space="preserve"> will be calculated</w:t>
      </w:r>
      <w:r w:rsidR="007D20EC" w:rsidRPr="007E74C0">
        <w:rPr>
          <w:rFonts w:ascii="Arial" w:eastAsia="Times New Roman" w:hAnsi="Arial" w:cs="Arial"/>
          <w:color w:val="000000"/>
          <w:sz w:val="20"/>
          <w:szCs w:val="20"/>
          <w:lang w:eastAsia="en-GB"/>
        </w:rPr>
        <w:t xml:space="preserve"> based on the official date of withdrawal </w:t>
      </w:r>
      <w:r w:rsidR="00AE6D37" w:rsidRPr="007E74C0">
        <w:rPr>
          <w:rFonts w:ascii="Arial" w:eastAsia="Times New Roman" w:hAnsi="Arial" w:cs="Arial"/>
          <w:color w:val="000000"/>
          <w:sz w:val="20"/>
          <w:szCs w:val="20"/>
          <w:lang w:eastAsia="en-GB"/>
        </w:rPr>
        <w:t xml:space="preserve">and </w:t>
      </w:r>
      <w:r w:rsidR="007D20EC" w:rsidRPr="007E74C0">
        <w:rPr>
          <w:rFonts w:ascii="Arial" w:eastAsia="Times New Roman" w:hAnsi="Arial" w:cs="Arial"/>
          <w:color w:val="000000"/>
          <w:sz w:val="20"/>
          <w:szCs w:val="20"/>
          <w:lang w:eastAsia="en-GB"/>
        </w:rPr>
        <w:t>applied to the student record</w:t>
      </w:r>
      <w:r w:rsidR="00483AB5" w:rsidRPr="007E74C0">
        <w:rPr>
          <w:rFonts w:ascii="Arial" w:eastAsia="Times New Roman" w:hAnsi="Arial" w:cs="Arial"/>
          <w:color w:val="000000"/>
          <w:sz w:val="20"/>
          <w:szCs w:val="20"/>
          <w:lang w:eastAsia="en-GB"/>
        </w:rPr>
        <w:t xml:space="preserve"> as follows</w:t>
      </w:r>
      <w:r w:rsidR="007D20EC" w:rsidRPr="007E74C0">
        <w:rPr>
          <w:rFonts w:ascii="Arial" w:eastAsia="Times New Roman" w:hAnsi="Arial" w:cs="Arial"/>
          <w:color w:val="000000"/>
          <w:sz w:val="20"/>
          <w:szCs w:val="20"/>
          <w:lang w:eastAsia="en-GB"/>
        </w:rPr>
        <w:t xml:space="preserve">: </w:t>
      </w:r>
    </w:p>
    <w:p w14:paraId="16BF2937" w14:textId="77777777" w:rsidR="007D20EC" w:rsidRPr="007E74C0" w:rsidRDefault="007D20EC" w:rsidP="007D20EC">
      <w:pPr>
        <w:spacing w:after="0" w:line="240" w:lineRule="auto"/>
        <w:rPr>
          <w:rFonts w:ascii="Arial" w:eastAsia="Times New Roman" w:hAnsi="Arial" w:cs="Arial"/>
          <w:color w:val="000000"/>
          <w:sz w:val="20"/>
          <w:szCs w:val="20"/>
          <w:lang w:eastAsia="en-GB"/>
        </w:rPr>
      </w:pPr>
    </w:p>
    <w:tbl>
      <w:tblPr>
        <w:tblStyle w:val="TableGrid"/>
        <w:tblW w:w="0" w:type="auto"/>
        <w:tblInd w:w="704" w:type="dxa"/>
        <w:tblLook w:val="04A0" w:firstRow="1" w:lastRow="0" w:firstColumn="1" w:lastColumn="0" w:noHBand="0" w:noVBand="1"/>
      </w:tblPr>
      <w:tblGrid>
        <w:gridCol w:w="5245"/>
        <w:gridCol w:w="3067"/>
      </w:tblGrid>
      <w:tr w:rsidR="007D20EC" w:rsidRPr="007E74C0" w14:paraId="1B913751" w14:textId="77777777" w:rsidTr="00C929E1">
        <w:tc>
          <w:tcPr>
            <w:tcW w:w="5245" w:type="dxa"/>
          </w:tcPr>
          <w:p w14:paraId="3E9CD2A3" w14:textId="77777777" w:rsidR="007D20EC" w:rsidRPr="007E74C0" w:rsidRDefault="007D20EC" w:rsidP="00C929E1">
            <w:pPr>
              <w:ind w:left="780"/>
              <w:rPr>
                <w:rFonts w:ascii="Arial" w:eastAsia="Times New Roman" w:hAnsi="Arial" w:cs="Arial"/>
                <w:b/>
                <w:bCs/>
                <w:color w:val="000000"/>
                <w:sz w:val="20"/>
                <w:szCs w:val="20"/>
                <w:lang w:eastAsia="en-GB"/>
              </w:rPr>
            </w:pPr>
            <w:r w:rsidRPr="007E74C0">
              <w:rPr>
                <w:rFonts w:ascii="Arial" w:eastAsia="Times New Roman" w:hAnsi="Arial" w:cs="Arial"/>
                <w:b/>
                <w:bCs/>
                <w:color w:val="000000"/>
                <w:sz w:val="20"/>
                <w:szCs w:val="20"/>
                <w:lang w:eastAsia="en-GB"/>
              </w:rPr>
              <w:t>Withdrawal Date</w:t>
            </w:r>
          </w:p>
        </w:tc>
        <w:tc>
          <w:tcPr>
            <w:tcW w:w="3067" w:type="dxa"/>
          </w:tcPr>
          <w:p w14:paraId="21497EC6" w14:textId="77777777" w:rsidR="007D20EC" w:rsidRPr="007E74C0" w:rsidRDefault="007D20EC" w:rsidP="00C929E1">
            <w:pPr>
              <w:jc w:val="center"/>
              <w:rPr>
                <w:rFonts w:ascii="Arial" w:eastAsia="Times New Roman" w:hAnsi="Arial" w:cs="Arial"/>
                <w:b/>
                <w:bCs/>
                <w:color w:val="000000"/>
                <w:sz w:val="20"/>
                <w:szCs w:val="20"/>
                <w:lang w:eastAsia="en-GB"/>
              </w:rPr>
            </w:pPr>
            <w:r w:rsidRPr="007E74C0">
              <w:rPr>
                <w:rFonts w:ascii="Arial" w:eastAsia="Times New Roman" w:hAnsi="Arial" w:cs="Arial"/>
                <w:b/>
                <w:bCs/>
                <w:color w:val="000000"/>
                <w:sz w:val="20"/>
                <w:szCs w:val="20"/>
                <w:lang w:eastAsia="en-GB"/>
              </w:rPr>
              <w:t>% of Annual Fee Due</w:t>
            </w:r>
          </w:p>
        </w:tc>
      </w:tr>
      <w:tr w:rsidR="007D20EC" w:rsidRPr="007E74C0" w14:paraId="0E331719" w14:textId="77777777" w:rsidTr="00C929E1">
        <w:tc>
          <w:tcPr>
            <w:tcW w:w="5245" w:type="dxa"/>
          </w:tcPr>
          <w:p w14:paraId="2D03D98C" w14:textId="77777777" w:rsidR="007D20EC" w:rsidRPr="007E74C0" w:rsidRDefault="007D20EC" w:rsidP="00C929E1">
            <w:pPr>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Term 1 - within first 2 weeks</w:t>
            </w:r>
          </w:p>
        </w:tc>
        <w:tc>
          <w:tcPr>
            <w:tcW w:w="3067" w:type="dxa"/>
          </w:tcPr>
          <w:p w14:paraId="07BD8F67" w14:textId="77777777" w:rsidR="007D20EC" w:rsidRPr="007E74C0" w:rsidRDefault="007D20EC" w:rsidP="00C929E1">
            <w:pPr>
              <w:jc w:val="center"/>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0%</w:t>
            </w:r>
          </w:p>
        </w:tc>
      </w:tr>
      <w:tr w:rsidR="007D20EC" w:rsidRPr="007E74C0" w14:paraId="02CB9452" w14:textId="77777777" w:rsidTr="00C929E1">
        <w:tc>
          <w:tcPr>
            <w:tcW w:w="5245" w:type="dxa"/>
          </w:tcPr>
          <w:p w14:paraId="5909C1CB" w14:textId="77777777" w:rsidR="007D20EC" w:rsidRPr="007E74C0" w:rsidRDefault="007D20EC" w:rsidP="00C929E1">
            <w:pPr>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Term 1 - from 2 weeks to the day before term 2</w:t>
            </w:r>
          </w:p>
        </w:tc>
        <w:tc>
          <w:tcPr>
            <w:tcW w:w="3067" w:type="dxa"/>
          </w:tcPr>
          <w:p w14:paraId="665C6CEC" w14:textId="77777777" w:rsidR="007D20EC" w:rsidRPr="007E74C0" w:rsidRDefault="007D20EC" w:rsidP="00C929E1">
            <w:pPr>
              <w:jc w:val="center"/>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25%</w:t>
            </w:r>
          </w:p>
        </w:tc>
      </w:tr>
      <w:tr w:rsidR="007D20EC" w:rsidRPr="007E74C0" w14:paraId="1DDF5516" w14:textId="77777777" w:rsidTr="00C929E1">
        <w:tc>
          <w:tcPr>
            <w:tcW w:w="5245" w:type="dxa"/>
          </w:tcPr>
          <w:p w14:paraId="5705C78F" w14:textId="77777777" w:rsidR="007D20EC" w:rsidRPr="007E74C0" w:rsidRDefault="007D20EC" w:rsidP="00C929E1">
            <w:pPr>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Term 2 - from first day of term 2 to the day before term 3</w:t>
            </w:r>
          </w:p>
        </w:tc>
        <w:tc>
          <w:tcPr>
            <w:tcW w:w="3067" w:type="dxa"/>
          </w:tcPr>
          <w:p w14:paraId="13C59484" w14:textId="77777777" w:rsidR="007D20EC" w:rsidRPr="007E74C0" w:rsidRDefault="007D20EC" w:rsidP="00C929E1">
            <w:pPr>
              <w:jc w:val="center"/>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50%</w:t>
            </w:r>
          </w:p>
        </w:tc>
      </w:tr>
      <w:tr w:rsidR="007D20EC" w:rsidRPr="007E74C0" w14:paraId="7DE7F358" w14:textId="77777777" w:rsidTr="00C929E1">
        <w:tc>
          <w:tcPr>
            <w:tcW w:w="5245" w:type="dxa"/>
          </w:tcPr>
          <w:p w14:paraId="1BCFEB43" w14:textId="77777777" w:rsidR="007D20EC" w:rsidRPr="007E74C0" w:rsidRDefault="007D20EC" w:rsidP="00C929E1">
            <w:pPr>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Term 3 - from first day of term 3</w:t>
            </w:r>
          </w:p>
        </w:tc>
        <w:tc>
          <w:tcPr>
            <w:tcW w:w="3067" w:type="dxa"/>
          </w:tcPr>
          <w:p w14:paraId="12811AA5" w14:textId="77777777" w:rsidR="007D20EC" w:rsidRPr="007E74C0" w:rsidRDefault="007D20EC" w:rsidP="00C929E1">
            <w:pPr>
              <w:jc w:val="center"/>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100%</w:t>
            </w:r>
          </w:p>
        </w:tc>
      </w:tr>
    </w:tbl>
    <w:p w14:paraId="38768B88" w14:textId="77777777" w:rsidR="007D20EC" w:rsidRPr="007E74C0" w:rsidRDefault="007D20EC" w:rsidP="00C20C55">
      <w:pPr>
        <w:spacing w:after="0" w:line="336" w:lineRule="atLeast"/>
        <w:rPr>
          <w:rFonts w:ascii="Arial" w:hAnsi="Arial" w:cs="Arial"/>
        </w:rPr>
      </w:pPr>
    </w:p>
    <w:p w14:paraId="36D3A0FF" w14:textId="6DBB070D" w:rsidR="007D20EC" w:rsidRPr="007E74C0" w:rsidRDefault="007D20EC" w:rsidP="007D20EC">
      <w:pPr>
        <w:spacing w:after="0" w:line="336" w:lineRule="atLeast"/>
        <w:rPr>
          <w:rFonts w:ascii="Arial" w:eastAsia="Times New Roman" w:hAnsi="Arial" w:cs="Arial"/>
          <w:b/>
          <w:bCs/>
          <w:color w:val="000000"/>
          <w:sz w:val="20"/>
          <w:szCs w:val="20"/>
          <w:lang w:eastAsia="en-GB"/>
        </w:rPr>
      </w:pPr>
      <w:r w:rsidRPr="007E74C0">
        <w:rPr>
          <w:rFonts w:ascii="Arial" w:eastAsia="Times New Roman" w:hAnsi="Arial" w:cs="Arial"/>
          <w:b/>
          <w:bCs/>
          <w:color w:val="4472C4" w:themeColor="accent1"/>
          <w:sz w:val="20"/>
          <w:szCs w:val="20"/>
          <w:lang w:eastAsia="en-GB"/>
        </w:rPr>
        <w:t>9.</w:t>
      </w:r>
      <w:r w:rsidR="008D00F9">
        <w:rPr>
          <w:rFonts w:ascii="Arial" w:eastAsia="Times New Roman" w:hAnsi="Arial" w:cs="Arial"/>
          <w:b/>
          <w:bCs/>
          <w:color w:val="4472C4" w:themeColor="accent1"/>
          <w:sz w:val="20"/>
          <w:szCs w:val="20"/>
          <w:lang w:eastAsia="en-GB"/>
        </w:rPr>
        <w:t>2</w:t>
      </w:r>
      <w:r w:rsidRPr="007E74C0">
        <w:rPr>
          <w:rFonts w:ascii="Arial" w:eastAsia="Times New Roman" w:hAnsi="Arial" w:cs="Arial"/>
          <w:b/>
          <w:bCs/>
          <w:color w:val="4472C4" w:themeColor="accent1"/>
          <w:sz w:val="20"/>
          <w:szCs w:val="20"/>
          <w:lang w:eastAsia="en-GB"/>
        </w:rPr>
        <w:tab/>
        <w:t>Income – Tuition Fees funded by Student Finance Support</w:t>
      </w:r>
    </w:p>
    <w:p w14:paraId="6FD42024" w14:textId="77777777" w:rsidR="007D20EC" w:rsidRPr="007E74C0" w:rsidRDefault="007D20EC" w:rsidP="007D20EC">
      <w:pPr>
        <w:spacing w:after="0" w:line="336" w:lineRule="atLeast"/>
        <w:rPr>
          <w:rFonts w:ascii="Arial" w:eastAsia="Times New Roman" w:hAnsi="Arial" w:cs="Arial"/>
          <w:color w:val="000000"/>
          <w:sz w:val="20"/>
          <w:szCs w:val="20"/>
          <w:lang w:eastAsia="en-GB"/>
        </w:rPr>
      </w:pPr>
    </w:p>
    <w:p w14:paraId="37E1E630" w14:textId="2E509123" w:rsidR="007D20EC" w:rsidRPr="008D00F9" w:rsidRDefault="008D00F9" w:rsidP="008D00F9">
      <w:pPr>
        <w:spacing w:after="0" w:line="240" w:lineRule="auto"/>
        <w:ind w:left="720"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9.2.1</w:t>
      </w:r>
      <w:r>
        <w:rPr>
          <w:rFonts w:ascii="Arial" w:eastAsia="Times New Roman" w:hAnsi="Arial" w:cs="Arial"/>
          <w:color w:val="000000"/>
          <w:sz w:val="20"/>
          <w:szCs w:val="20"/>
          <w:lang w:eastAsia="en-GB"/>
        </w:rPr>
        <w:tab/>
      </w:r>
      <w:r w:rsidR="007D20EC" w:rsidRPr="008D00F9">
        <w:rPr>
          <w:rFonts w:ascii="Arial" w:eastAsia="Times New Roman" w:hAnsi="Arial" w:cs="Arial"/>
          <w:color w:val="000000"/>
          <w:sz w:val="20"/>
          <w:szCs w:val="20"/>
          <w:lang w:eastAsia="en-GB"/>
        </w:rPr>
        <w:t xml:space="preserve">Eligible undergraduate &amp; PGCE students can apply for a tuition fee loans and grants and maintenance loans and grants through the relevant UK funding body. PGT and PGR students are eligible to apply for a post graduate loan (Masters or Doctoral).  Applications must be submitted annually by the student by 31 May. Funding is notified to students by a Student Finance Notification and a payment schedule from the relevant UK funding body. Where funding confirmation has not been received by the University, the liability for full annual tuition fees remain that of the student. </w:t>
      </w:r>
    </w:p>
    <w:p w14:paraId="7048827F" w14:textId="77777777" w:rsidR="007D20EC" w:rsidRPr="007E74C0" w:rsidRDefault="007D20EC" w:rsidP="007D20EC">
      <w:pPr>
        <w:pStyle w:val="ListParagraph"/>
        <w:spacing w:after="0" w:line="240" w:lineRule="auto"/>
        <w:rPr>
          <w:rFonts w:ascii="Arial" w:eastAsia="Times New Roman" w:hAnsi="Arial" w:cs="Arial"/>
          <w:color w:val="000000"/>
          <w:sz w:val="20"/>
          <w:szCs w:val="20"/>
          <w:lang w:eastAsia="en-GB"/>
        </w:rPr>
      </w:pPr>
    </w:p>
    <w:p w14:paraId="28C331C8" w14:textId="77777777" w:rsidR="007D20EC" w:rsidRPr="007E74C0" w:rsidRDefault="007D20EC" w:rsidP="001A6196">
      <w:pPr>
        <w:pStyle w:val="ListParagraph"/>
        <w:spacing w:after="0" w:line="240" w:lineRule="auto"/>
        <w:jc w:val="both"/>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Student finance for Home/EU undergraduate student applicants is processed by the following UK Funding Bodies:</w:t>
      </w:r>
    </w:p>
    <w:p w14:paraId="63599202" w14:textId="77777777" w:rsidR="007D20EC" w:rsidRPr="007E74C0" w:rsidRDefault="007D20EC" w:rsidP="001A6196">
      <w:pPr>
        <w:pStyle w:val="ListParagraph"/>
        <w:spacing w:after="0" w:line="240" w:lineRule="auto"/>
        <w:jc w:val="both"/>
        <w:rPr>
          <w:rFonts w:ascii="Arial" w:eastAsia="Times New Roman" w:hAnsi="Arial" w:cs="Arial"/>
          <w:color w:val="000000"/>
          <w:sz w:val="20"/>
          <w:szCs w:val="20"/>
          <w:lang w:eastAsia="en-GB"/>
        </w:rPr>
      </w:pPr>
    </w:p>
    <w:p w14:paraId="7E433415" w14:textId="77777777" w:rsidR="007D20EC" w:rsidRPr="007E74C0" w:rsidRDefault="007D20EC" w:rsidP="007D20EC">
      <w:pPr>
        <w:numPr>
          <w:ilvl w:val="0"/>
          <w:numId w:val="6"/>
        </w:numPr>
        <w:spacing w:after="0" w:line="240" w:lineRule="auto"/>
        <w:ind w:left="1155"/>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Student Finance Wales</w:t>
      </w:r>
    </w:p>
    <w:p w14:paraId="73321644" w14:textId="77777777" w:rsidR="007D20EC" w:rsidRPr="007E74C0" w:rsidRDefault="007D20EC" w:rsidP="007D20EC">
      <w:pPr>
        <w:numPr>
          <w:ilvl w:val="0"/>
          <w:numId w:val="6"/>
        </w:numPr>
        <w:spacing w:after="0" w:line="240" w:lineRule="auto"/>
        <w:ind w:left="1155"/>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Student Finance England</w:t>
      </w:r>
    </w:p>
    <w:p w14:paraId="638D2CA8" w14:textId="77777777" w:rsidR="007D20EC" w:rsidRPr="007E74C0" w:rsidRDefault="007D20EC" w:rsidP="007D20EC">
      <w:pPr>
        <w:numPr>
          <w:ilvl w:val="0"/>
          <w:numId w:val="6"/>
        </w:numPr>
        <w:spacing w:after="0" w:line="240" w:lineRule="auto"/>
        <w:ind w:left="1155"/>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Student Finance Northern Ireland</w:t>
      </w:r>
    </w:p>
    <w:p w14:paraId="39F70FE9" w14:textId="77777777" w:rsidR="007D20EC" w:rsidRPr="007E74C0" w:rsidRDefault="007D20EC" w:rsidP="007D20EC">
      <w:pPr>
        <w:numPr>
          <w:ilvl w:val="0"/>
          <w:numId w:val="6"/>
        </w:numPr>
        <w:spacing w:after="0" w:line="240" w:lineRule="auto"/>
        <w:ind w:left="1155"/>
        <w:rPr>
          <w:rFonts w:ascii="Arial" w:eastAsia="Times New Roman" w:hAnsi="Arial" w:cs="Arial"/>
          <w:color w:val="000000"/>
          <w:sz w:val="20"/>
          <w:szCs w:val="20"/>
          <w:lang w:eastAsia="en-GB"/>
        </w:rPr>
      </w:pPr>
      <w:r w:rsidRPr="007E74C0">
        <w:rPr>
          <w:rFonts w:ascii="Arial" w:eastAsia="Times New Roman" w:hAnsi="Arial" w:cs="Arial"/>
          <w:color w:val="000000"/>
          <w:sz w:val="20"/>
          <w:szCs w:val="20"/>
          <w:lang w:eastAsia="en-GB"/>
        </w:rPr>
        <w:t>Student Awards Agency for Scotland.</w:t>
      </w:r>
    </w:p>
    <w:p w14:paraId="562A202E" w14:textId="77777777" w:rsidR="007D20EC" w:rsidRPr="007E74C0" w:rsidRDefault="007D20EC" w:rsidP="007D20EC">
      <w:pPr>
        <w:spacing w:after="0" w:line="240" w:lineRule="auto"/>
        <w:rPr>
          <w:rFonts w:ascii="Arial" w:eastAsia="Times New Roman" w:hAnsi="Arial" w:cs="Arial"/>
          <w:color w:val="000000"/>
          <w:sz w:val="20"/>
          <w:szCs w:val="20"/>
          <w:lang w:eastAsia="en-GB"/>
        </w:rPr>
      </w:pPr>
    </w:p>
    <w:p w14:paraId="292169F1" w14:textId="6B3114B6" w:rsidR="007D20EC" w:rsidRPr="008D00F9" w:rsidRDefault="008D00F9" w:rsidP="008D00F9">
      <w:pPr>
        <w:spacing w:after="0" w:line="240" w:lineRule="auto"/>
        <w:ind w:left="720" w:hanging="720"/>
        <w:jc w:val="both"/>
        <w:rPr>
          <w:rFonts w:ascii="Arial" w:eastAsia="Times New Roman" w:hAnsi="Arial" w:cs="Arial"/>
          <w:color w:val="000000"/>
          <w:sz w:val="20"/>
          <w:szCs w:val="20"/>
          <w:lang w:eastAsia="en-GB"/>
        </w:rPr>
      </w:pPr>
      <w:r w:rsidRPr="008D00F9">
        <w:rPr>
          <w:rFonts w:ascii="Arial" w:eastAsia="Times New Roman" w:hAnsi="Arial" w:cs="Arial"/>
          <w:color w:val="000000"/>
          <w:sz w:val="20"/>
          <w:szCs w:val="20"/>
          <w:lang w:eastAsia="en-GB"/>
        </w:rPr>
        <w:t>9.2.2</w:t>
      </w:r>
      <w:r>
        <w:rPr>
          <w:rFonts w:ascii="Arial" w:eastAsia="Times New Roman" w:hAnsi="Arial" w:cs="Arial"/>
          <w:color w:val="000000"/>
          <w:sz w:val="20"/>
          <w:szCs w:val="20"/>
          <w:lang w:eastAsia="en-GB"/>
        </w:rPr>
        <w:tab/>
      </w:r>
      <w:r w:rsidR="007D20EC" w:rsidRPr="008D00F9">
        <w:rPr>
          <w:rFonts w:ascii="Arial" w:eastAsia="Times New Roman" w:hAnsi="Arial" w:cs="Arial"/>
          <w:color w:val="000000"/>
          <w:sz w:val="20"/>
          <w:szCs w:val="20"/>
          <w:lang w:eastAsia="en-GB"/>
        </w:rPr>
        <w:t>The Student Loans Company will inform the University of applications for student finance for new and continuing students. The University has an obligation to notify the relevant UK funding body of any discrepancies or inconsistencies in the details submitted.</w:t>
      </w:r>
    </w:p>
    <w:p w14:paraId="01EA053E" w14:textId="77777777" w:rsidR="007D20EC" w:rsidRPr="007E74C0" w:rsidRDefault="007D20EC" w:rsidP="001A6196">
      <w:pPr>
        <w:spacing w:after="0" w:line="240" w:lineRule="auto"/>
        <w:jc w:val="both"/>
        <w:rPr>
          <w:rFonts w:ascii="Arial" w:eastAsia="Times New Roman" w:hAnsi="Arial" w:cs="Arial"/>
          <w:color w:val="000000"/>
          <w:sz w:val="20"/>
          <w:szCs w:val="20"/>
          <w:lang w:eastAsia="en-GB"/>
        </w:rPr>
      </w:pPr>
    </w:p>
    <w:p w14:paraId="09D7C1F7" w14:textId="6D19B31D" w:rsidR="007D20EC" w:rsidRPr="008D00F9" w:rsidRDefault="008D00F9" w:rsidP="008D00F9">
      <w:pPr>
        <w:spacing w:after="0" w:line="240" w:lineRule="auto"/>
        <w:ind w:left="720" w:hanging="720"/>
        <w:jc w:val="both"/>
        <w:rPr>
          <w:rFonts w:ascii="Arial" w:eastAsia="Times New Roman" w:hAnsi="Arial" w:cs="Arial"/>
          <w:color w:val="000000"/>
          <w:sz w:val="20"/>
          <w:szCs w:val="20"/>
          <w:lang w:eastAsia="en-GB"/>
        </w:rPr>
      </w:pPr>
      <w:r w:rsidRPr="008D00F9">
        <w:rPr>
          <w:rFonts w:ascii="Arial" w:eastAsia="Times New Roman" w:hAnsi="Arial" w:cs="Arial"/>
          <w:color w:val="000000"/>
          <w:sz w:val="20"/>
          <w:szCs w:val="20"/>
          <w:lang w:eastAsia="en-GB"/>
        </w:rPr>
        <w:t>9.2.3</w:t>
      </w:r>
      <w:r>
        <w:rPr>
          <w:rFonts w:ascii="Arial" w:eastAsia="Times New Roman" w:hAnsi="Arial" w:cs="Arial"/>
          <w:color w:val="000000"/>
          <w:sz w:val="20"/>
          <w:szCs w:val="20"/>
          <w:lang w:eastAsia="en-GB"/>
        </w:rPr>
        <w:tab/>
      </w:r>
      <w:r w:rsidR="007D20EC" w:rsidRPr="008D00F9">
        <w:rPr>
          <w:rFonts w:ascii="Arial" w:eastAsia="Times New Roman" w:hAnsi="Arial" w:cs="Arial"/>
          <w:color w:val="000000"/>
          <w:sz w:val="20"/>
          <w:szCs w:val="20"/>
          <w:lang w:eastAsia="en-GB"/>
        </w:rPr>
        <w:t>Where the student’s financial position is re-assessed in respect of any academic year by the relevant UK funding body and the student contribution is reduced as a result, the University will amend the liability as soon as formal notification of the change is received from the relevant UK funding body. Any applicable refund due will be processed within a reasonable timescale.</w:t>
      </w:r>
    </w:p>
    <w:p w14:paraId="3538DB2E" w14:textId="77777777" w:rsidR="007D20EC" w:rsidRPr="00EF16AC" w:rsidRDefault="007D20EC" w:rsidP="007D20EC">
      <w:pPr>
        <w:spacing w:after="0" w:line="240" w:lineRule="auto"/>
        <w:rPr>
          <w:rFonts w:eastAsia="Times New Roman" w:cstheme="minorHAnsi"/>
          <w:color w:val="000000"/>
          <w:sz w:val="20"/>
          <w:szCs w:val="20"/>
          <w:lang w:eastAsia="en-GB"/>
        </w:rPr>
      </w:pPr>
    </w:p>
    <w:p w14:paraId="613D31E4" w14:textId="4D952456" w:rsidR="007D20EC" w:rsidRPr="008D00F9" w:rsidRDefault="008D00F9" w:rsidP="008D00F9">
      <w:pPr>
        <w:spacing w:after="0" w:line="240" w:lineRule="auto"/>
        <w:ind w:left="720" w:hanging="720"/>
        <w:jc w:val="both"/>
        <w:rPr>
          <w:rFonts w:ascii="Arial" w:eastAsia="Times New Roman" w:hAnsi="Arial" w:cs="Arial"/>
          <w:color w:val="000000"/>
          <w:sz w:val="20"/>
          <w:szCs w:val="20"/>
          <w:lang w:eastAsia="en-GB"/>
        </w:rPr>
      </w:pPr>
      <w:r w:rsidRPr="008D00F9">
        <w:rPr>
          <w:rFonts w:ascii="Arial" w:eastAsia="Times New Roman" w:hAnsi="Arial" w:cs="Arial"/>
          <w:color w:val="000000"/>
          <w:sz w:val="20"/>
          <w:szCs w:val="20"/>
          <w:lang w:eastAsia="en-GB"/>
        </w:rPr>
        <w:t>9.2.4</w:t>
      </w:r>
      <w:r>
        <w:rPr>
          <w:rFonts w:ascii="Arial" w:eastAsia="Times New Roman" w:hAnsi="Arial" w:cs="Arial"/>
          <w:color w:val="000000"/>
          <w:sz w:val="20"/>
          <w:szCs w:val="20"/>
          <w:lang w:eastAsia="en-GB"/>
        </w:rPr>
        <w:tab/>
      </w:r>
      <w:r w:rsidR="007D20EC" w:rsidRPr="008D00F9">
        <w:rPr>
          <w:rFonts w:ascii="Arial" w:eastAsia="Times New Roman" w:hAnsi="Arial" w:cs="Arial"/>
          <w:color w:val="000000"/>
          <w:sz w:val="20"/>
          <w:szCs w:val="20"/>
          <w:lang w:eastAsia="en-GB"/>
        </w:rPr>
        <w:t>Where the student’s financial position is re-assessed in respect of any academic year by the relevant UK funding body and the student contribution is increased as a result, liability will return to the student. The University will pursue the invoiced amount in line with standard debt collection procedures as outlined in section 16.  Queries regarding the reasons for re-assessment, the calculations used, or the basis of the decision should be addressed to the relevant UK funding body.</w:t>
      </w:r>
    </w:p>
    <w:p w14:paraId="03AFDFA5" w14:textId="77777777" w:rsidR="007D20EC" w:rsidRPr="007E74C0" w:rsidRDefault="007D20EC" w:rsidP="007D20EC">
      <w:pPr>
        <w:spacing w:after="0" w:line="240" w:lineRule="auto"/>
        <w:rPr>
          <w:rFonts w:ascii="Arial" w:eastAsia="Times New Roman" w:hAnsi="Arial" w:cs="Arial"/>
          <w:color w:val="000000"/>
          <w:sz w:val="20"/>
          <w:szCs w:val="20"/>
          <w:lang w:eastAsia="en-GB"/>
        </w:rPr>
      </w:pPr>
    </w:p>
    <w:p w14:paraId="0D2376A4" w14:textId="34F24B49" w:rsidR="007D20EC" w:rsidRPr="008D00F9" w:rsidRDefault="008D00F9" w:rsidP="008D00F9">
      <w:pPr>
        <w:spacing w:after="0" w:line="240" w:lineRule="auto"/>
        <w:ind w:left="720" w:hanging="720"/>
        <w:jc w:val="both"/>
        <w:rPr>
          <w:rFonts w:ascii="Arial" w:hAnsi="Arial" w:cs="Arial"/>
          <w:sz w:val="20"/>
          <w:szCs w:val="20"/>
        </w:rPr>
      </w:pPr>
      <w:r w:rsidRPr="008D00F9">
        <w:rPr>
          <w:rFonts w:ascii="Arial" w:hAnsi="Arial" w:cs="Arial"/>
          <w:sz w:val="20"/>
          <w:szCs w:val="20"/>
        </w:rPr>
        <w:t>9.2.5</w:t>
      </w:r>
      <w:r>
        <w:rPr>
          <w:rFonts w:ascii="Arial" w:hAnsi="Arial" w:cs="Arial"/>
          <w:sz w:val="20"/>
          <w:szCs w:val="20"/>
        </w:rPr>
        <w:tab/>
      </w:r>
      <w:r w:rsidR="007D20EC" w:rsidRPr="008D00F9">
        <w:rPr>
          <w:rFonts w:ascii="Arial" w:hAnsi="Arial" w:cs="Arial"/>
          <w:sz w:val="20"/>
          <w:szCs w:val="20"/>
        </w:rPr>
        <w:t xml:space="preserve">The University must confirm to the Student Loans Company that students are registered timely and accurately by electronic submission at the beginning of each academic year. This will trigger the release of the maintenance grants and/or loans to students. </w:t>
      </w:r>
    </w:p>
    <w:p w14:paraId="248B1FD0" w14:textId="77777777" w:rsidR="007D20EC" w:rsidRPr="007E74C0" w:rsidRDefault="007D20EC" w:rsidP="001A6196">
      <w:pPr>
        <w:spacing w:after="0" w:line="240" w:lineRule="auto"/>
        <w:jc w:val="both"/>
        <w:rPr>
          <w:rFonts w:ascii="Arial" w:hAnsi="Arial" w:cs="Arial"/>
          <w:sz w:val="20"/>
          <w:szCs w:val="20"/>
        </w:rPr>
      </w:pPr>
    </w:p>
    <w:p w14:paraId="085024D0" w14:textId="52687FBB" w:rsidR="007D20EC" w:rsidRPr="008D00F9" w:rsidRDefault="008D00F9" w:rsidP="008D00F9">
      <w:pPr>
        <w:spacing w:after="0" w:line="240" w:lineRule="auto"/>
        <w:ind w:left="720" w:hanging="720"/>
        <w:jc w:val="both"/>
        <w:rPr>
          <w:rFonts w:ascii="Arial" w:eastAsia="Times New Roman" w:hAnsi="Arial" w:cs="Arial"/>
          <w:color w:val="000000"/>
          <w:sz w:val="20"/>
          <w:szCs w:val="20"/>
          <w:lang w:eastAsia="en-GB"/>
        </w:rPr>
      </w:pPr>
      <w:r w:rsidRPr="008D00F9">
        <w:rPr>
          <w:rFonts w:ascii="Arial" w:hAnsi="Arial" w:cs="Arial"/>
          <w:sz w:val="20"/>
          <w:szCs w:val="20"/>
        </w:rPr>
        <w:t>9.2.6</w:t>
      </w:r>
      <w:r>
        <w:rPr>
          <w:rFonts w:ascii="Arial" w:hAnsi="Arial" w:cs="Arial"/>
          <w:sz w:val="20"/>
          <w:szCs w:val="20"/>
        </w:rPr>
        <w:tab/>
      </w:r>
      <w:r w:rsidR="007D20EC" w:rsidRPr="008D00F9">
        <w:rPr>
          <w:rFonts w:ascii="Arial" w:hAnsi="Arial" w:cs="Arial"/>
          <w:sz w:val="20"/>
          <w:szCs w:val="20"/>
        </w:rPr>
        <w:t>The University must confirm to the Student Loans Company that students are in attendance timely and accurately by electronic submission at three separate liability points which correspond with each term to release fee payments to the University on behalf of students. The student’s course and fee information must all match before confirming attendance. Where there are discrepancies, change of circumstances submissions must be made to update the Student Loans Company.</w:t>
      </w:r>
    </w:p>
    <w:p w14:paraId="05A10686" w14:textId="77777777" w:rsidR="007D20EC" w:rsidRPr="007E74C0" w:rsidRDefault="007D20EC" w:rsidP="007D20EC">
      <w:pPr>
        <w:spacing w:after="0" w:line="240" w:lineRule="auto"/>
        <w:rPr>
          <w:rFonts w:ascii="Arial" w:eastAsia="Times New Roman" w:hAnsi="Arial" w:cs="Arial"/>
          <w:color w:val="000000"/>
          <w:sz w:val="20"/>
          <w:szCs w:val="20"/>
          <w:lang w:eastAsia="en-GB"/>
        </w:rPr>
      </w:pPr>
    </w:p>
    <w:p w14:paraId="7E74953F" w14:textId="7CD993AE" w:rsidR="00AA5A98" w:rsidRPr="008D00F9" w:rsidRDefault="008D00F9" w:rsidP="008D00F9">
      <w:pPr>
        <w:spacing w:after="0" w:line="240" w:lineRule="auto"/>
        <w:ind w:left="720" w:hanging="720"/>
        <w:jc w:val="both"/>
        <w:rPr>
          <w:rFonts w:ascii="Arial" w:eastAsia="Times New Roman" w:hAnsi="Arial" w:cs="Arial"/>
          <w:color w:val="000000"/>
          <w:sz w:val="20"/>
          <w:szCs w:val="20"/>
          <w:lang w:eastAsia="en-GB"/>
        </w:rPr>
      </w:pPr>
      <w:r w:rsidRPr="008D00F9">
        <w:rPr>
          <w:rFonts w:ascii="Arial" w:eastAsia="Times New Roman" w:hAnsi="Arial" w:cs="Arial"/>
          <w:color w:val="000000"/>
          <w:sz w:val="20"/>
          <w:szCs w:val="20"/>
          <w:lang w:eastAsia="en-GB"/>
        </w:rPr>
        <w:t>9.2.7</w:t>
      </w:r>
      <w:r>
        <w:rPr>
          <w:rFonts w:ascii="Arial" w:eastAsia="Times New Roman" w:hAnsi="Arial" w:cs="Arial"/>
          <w:color w:val="000000"/>
          <w:sz w:val="20"/>
          <w:szCs w:val="20"/>
          <w:lang w:eastAsia="en-GB"/>
        </w:rPr>
        <w:tab/>
      </w:r>
      <w:r w:rsidR="007D20EC" w:rsidRPr="008D00F9">
        <w:rPr>
          <w:rFonts w:ascii="Arial" w:eastAsia="Times New Roman" w:hAnsi="Arial" w:cs="Arial"/>
          <w:color w:val="000000"/>
          <w:sz w:val="20"/>
          <w:szCs w:val="20"/>
          <w:lang w:eastAsia="en-GB"/>
        </w:rPr>
        <w:t xml:space="preserve">Where a student has officially suspended or withdrawn from a programme of study, the University will submit without delay a Change of Circumstances notification to the Student Loans Company to advise them of the change and to confirm any applicable reduction in the tuition fee liability. </w:t>
      </w:r>
    </w:p>
    <w:p w14:paraId="64CFBD56" w14:textId="77777777" w:rsidR="001A6196" w:rsidRPr="007E74C0" w:rsidRDefault="001A6196" w:rsidP="001A6196">
      <w:pPr>
        <w:pStyle w:val="ListParagraph"/>
        <w:spacing w:after="0" w:line="240" w:lineRule="auto"/>
        <w:jc w:val="both"/>
        <w:rPr>
          <w:rFonts w:ascii="Arial" w:eastAsia="Times New Roman" w:hAnsi="Arial" w:cs="Arial"/>
          <w:color w:val="000000"/>
          <w:sz w:val="20"/>
          <w:szCs w:val="20"/>
          <w:lang w:eastAsia="en-GB"/>
        </w:rPr>
      </w:pPr>
    </w:p>
    <w:p w14:paraId="1C0133AD" w14:textId="19E96CC7" w:rsidR="00AA5A98" w:rsidRPr="007E74C0" w:rsidRDefault="00AA5A98" w:rsidP="00AA5A98">
      <w:pPr>
        <w:spacing w:after="0" w:line="336" w:lineRule="atLeast"/>
        <w:rPr>
          <w:rFonts w:ascii="Arial" w:eastAsia="Times New Roman" w:hAnsi="Arial" w:cs="Arial"/>
          <w:b/>
          <w:bCs/>
          <w:color w:val="4472C4" w:themeColor="accent1"/>
          <w:sz w:val="20"/>
          <w:szCs w:val="20"/>
          <w:lang w:eastAsia="en-GB"/>
        </w:rPr>
      </w:pPr>
      <w:r w:rsidRPr="007E74C0">
        <w:rPr>
          <w:rFonts w:ascii="Arial" w:eastAsia="Times New Roman" w:hAnsi="Arial" w:cs="Arial"/>
          <w:b/>
          <w:bCs/>
          <w:color w:val="4472C4" w:themeColor="accent1"/>
          <w:sz w:val="20"/>
          <w:szCs w:val="20"/>
          <w:lang w:eastAsia="en-GB"/>
        </w:rPr>
        <w:t>9.</w:t>
      </w:r>
      <w:r w:rsidR="008D00F9">
        <w:rPr>
          <w:rFonts w:ascii="Arial" w:eastAsia="Times New Roman" w:hAnsi="Arial" w:cs="Arial"/>
          <w:b/>
          <w:bCs/>
          <w:color w:val="4472C4" w:themeColor="accent1"/>
          <w:sz w:val="20"/>
          <w:szCs w:val="20"/>
          <w:lang w:eastAsia="en-GB"/>
        </w:rPr>
        <w:t>3</w:t>
      </w:r>
      <w:r w:rsidRPr="007E74C0">
        <w:rPr>
          <w:rFonts w:ascii="Arial" w:eastAsia="Times New Roman" w:hAnsi="Arial" w:cs="Arial"/>
          <w:b/>
          <w:bCs/>
          <w:color w:val="4472C4" w:themeColor="accent1"/>
          <w:sz w:val="20"/>
          <w:szCs w:val="20"/>
          <w:lang w:eastAsia="en-GB"/>
        </w:rPr>
        <w:tab/>
        <w:t>Income – Accommodation Fees</w:t>
      </w:r>
    </w:p>
    <w:p w14:paraId="75282FB6" w14:textId="77777777" w:rsidR="00AA5A98" w:rsidRPr="007E74C0" w:rsidRDefault="00AA5A98" w:rsidP="00AA5A98">
      <w:pPr>
        <w:spacing w:after="0" w:line="336" w:lineRule="atLeast"/>
        <w:rPr>
          <w:rFonts w:ascii="Arial" w:eastAsia="Times New Roman" w:hAnsi="Arial" w:cs="Arial"/>
          <w:color w:val="000000"/>
          <w:sz w:val="20"/>
          <w:szCs w:val="20"/>
          <w:lang w:eastAsia="en-GB"/>
        </w:rPr>
      </w:pPr>
    </w:p>
    <w:p w14:paraId="38C1DD1F" w14:textId="229860BD" w:rsidR="000A1AAD" w:rsidRPr="008D00F9" w:rsidRDefault="008D00F9" w:rsidP="008D00F9">
      <w:pPr>
        <w:spacing w:after="0" w:line="240" w:lineRule="auto"/>
        <w:ind w:left="720" w:hanging="720"/>
        <w:rPr>
          <w:rFonts w:ascii="Arial" w:hAnsi="Arial" w:cs="Arial"/>
          <w:sz w:val="20"/>
          <w:szCs w:val="20"/>
        </w:rPr>
      </w:pPr>
      <w:r w:rsidRPr="008D00F9">
        <w:rPr>
          <w:rFonts w:ascii="Arial" w:hAnsi="Arial" w:cs="Arial"/>
          <w:sz w:val="20"/>
          <w:szCs w:val="20"/>
        </w:rPr>
        <w:t>9.3.1</w:t>
      </w:r>
      <w:r>
        <w:rPr>
          <w:rFonts w:ascii="Arial" w:hAnsi="Arial" w:cs="Arial"/>
          <w:sz w:val="20"/>
          <w:szCs w:val="20"/>
        </w:rPr>
        <w:tab/>
      </w:r>
      <w:r w:rsidR="002264B6" w:rsidRPr="008D00F9">
        <w:rPr>
          <w:rFonts w:ascii="Arial" w:hAnsi="Arial" w:cs="Arial"/>
          <w:sz w:val="20"/>
          <w:szCs w:val="20"/>
        </w:rPr>
        <w:t>The generating of accommodation fee invoices is driven by the accommodation module of the student records system, AStRA. The data is maintained by the Accommodation Office</w:t>
      </w:r>
      <w:r w:rsidR="005E1D66" w:rsidRPr="008D00F9">
        <w:rPr>
          <w:rFonts w:ascii="Arial" w:hAnsi="Arial" w:cs="Arial"/>
          <w:sz w:val="20"/>
          <w:szCs w:val="20"/>
        </w:rPr>
        <w:t>.</w:t>
      </w:r>
    </w:p>
    <w:p w14:paraId="5ED498F6" w14:textId="77777777" w:rsidR="000A1AAD" w:rsidRPr="007E74C0" w:rsidRDefault="000A1AAD" w:rsidP="007E74C0">
      <w:pPr>
        <w:pStyle w:val="ListParagraph"/>
        <w:spacing w:after="0" w:line="336" w:lineRule="atLeast"/>
        <w:jc w:val="both"/>
        <w:rPr>
          <w:rFonts w:ascii="Arial" w:hAnsi="Arial" w:cs="Arial"/>
          <w:sz w:val="20"/>
          <w:szCs w:val="20"/>
        </w:rPr>
      </w:pPr>
    </w:p>
    <w:p w14:paraId="2529763A" w14:textId="1F697491" w:rsidR="00A32611" w:rsidRPr="008D00F9" w:rsidRDefault="008D00F9" w:rsidP="008D00F9">
      <w:pPr>
        <w:spacing w:after="0" w:line="240" w:lineRule="auto"/>
        <w:ind w:left="720" w:hanging="720"/>
        <w:jc w:val="both"/>
        <w:rPr>
          <w:rFonts w:ascii="Arial" w:hAnsi="Arial" w:cs="Arial"/>
          <w:sz w:val="20"/>
          <w:szCs w:val="20"/>
        </w:rPr>
      </w:pPr>
      <w:r>
        <w:rPr>
          <w:rFonts w:ascii="Arial" w:hAnsi="Arial" w:cs="Arial"/>
          <w:sz w:val="20"/>
          <w:szCs w:val="20"/>
        </w:rPr>
        <w:t>9.3.2</w:t>
      </w:r>
      <w:r>
        <w:rPr>
          <w:rFonts w:ascii="Arial" w:hAnsi="Arial" w:cs="Arial"/>
          <w:sz w:val="20"/>
          <w:szCs w:val="20"/>
        </w:rPr>
        <w:tab/>
      </w:r>
      <w:r w:rsidR="000A1AAD" w:rsidRPr="008D00F9">
        <w:rPr>
          <w:rFonts w:ascii="Arial" w:hAnsi="Arial" w:cs="Arial"/>
          <w:sz w:val="20"/>
          <w:szCs w:val="20"/>
        </w:rPr>
        <w:t xml:space="preserve">The </w:t>
      </w:r>
      <w:r w:rsidR="00D20E35" w:rsidRPr="008D00F9">
        <w:rPr>
          <w:rFonts w:ascii="Arial" w:hAnsi="Arial" w:cs="Arial"/>
          <w:sz w:val="20"/>
          <w:szCs w:val="20"/>
        </w:rPr>
        <w:t>student</w:t>
      </w:r>
      <w:r w:rsidR="000A1AAD" w:rsidRPr="008D00F9">
        <w:rPr>
          <w:rFonts w:ascii="Arial" w:hAnsi="Arial" w:cs="Arial"/>
          <w:sz w:val="20"/>
          <w:szCs w:val="20"/>
        </w:rPr>
        <w:t xml:space="preserve"> completes a</w:t>
      </w:r>
      <w:r w:rsidR="00A32611" w:rsidRPr="008D00F9">
        <w:rPr>
          <w:rFonts w:ascii="Arial" w:hAnsi="Arial" w:cs="Arial"/>
          <w:sz w:val="20"/>
          <w:szCs w:val="20"/>
        </w:rPr>
        <w:t>n online Accommodation</w:t>
      </w:r>
      <w:r w:rsidR="000A1AAD" w:rsidRPr="008D00F9">
        <w:rPr>
          <w:rFonts w:ascii="Arial" w:hAnsi="Arial" w:cs="Arial"/>
          <w:sz w:val="20"/>
          <w:szCs w:val="20"/>
        </w:rPr>
        <w:t xml:space="preserve"> Licence Pack </w:t>
      </w:r>
      <w:r w:rsidR="00A32611" w:rsidRPr="008D00F9">
        <w:rPr>
          <w:rFonts w:ascii="Arial" w:hAnsi="Arial" w:cs="Arial"/>
          <w:sz w:val="20"/>
          <w:szCs w:val="20"/>
        </w:rPr>
        <w:t xml:space="preserve">to secure university accommodation which includes the payment of a £100 acceptance fee. </w:t>
      </w:r>
      <w:r w:rsidR="00D20E35" w:rsidRPr="008D00F9">
        <w:rPr>
          <w:rFonts w:ascii="Arial" w:hAnsi="Arial" w:cs="Arial"/>
          <w:sz w:val="20"/>
          <w:szCs w:val="20"/>
        </w:rPr>
        <w:t>On commencement of the licence period, the acceptance fee will convert to a deposit to be held by the University for the duration of the student’s stay. At the end of the licence period the deposit, less any deductions under the Licence Agreement, will be reimbursed to the student.</w:t>
      </w:r>
      <w:r w:rsidR="005E1D66" w:rsidRPr="008D00F9">
        <w:rPr>
          <w:rFonts w:ascii="Arial" w:hAnsi="Arial" w:cs="Arial"/>
          <w:sz w:val="20"/>
          <w:szCs w:val="20"/>
        </w:rPr>
        <w:t xml:space="preserve"> </w:t>
      </w:r>
      <w:r w:rsidR="00A32611" w:rsidRPr="008D00F9">
        <w:rPr>
          <w:rFonts w:ascii="Arial" w:hAnsi="Arial" w:cs="Arial"/>
          <w:sz w:val="20"/>
          <w:szCs w:val="20"/>
        </w:rPr>
        <w:t>Current students living in University accommodation wishing to apply for accommodation for the following year can choose to use their existing deposit during the Accommodation Licence Pack process.</w:t>
      </w:r>
    </w:p>
    <w:p w14:paraId="4512E5F0" w14:textId="77777777" w:rsidR="00994C97" w:rsidRPr="007E74C0" w:rsidRDefault="00994C97" w:rsidP="007E74C0">
      <w:pPr>
        <w:pStyle w:val="ListParagraph"/>
        <w:jc w:val="both"/>
        <w:rPr>
          <w:rFonts w:ascii="Arial" w:hAnsi="Arial" w:cs="Arial"/>
          <w:sz w:val="20"/>
          <w:szCs w:val="20"/>
        </w:rPr>
      </w:pPr>
    </w:p>
    <w:p w14:paraId="21F9D802" w14:textId="62E8DDA1" w:rsidR="002A343A" w:rsidRPr="008D00F9" w:rsidRDefault="008D00F9" w:rsidP="008D00F9">
      <w:pPr>
        <w:spacing w:after="0" w:line="240" w:lineRule="auto"/>
        <w:ind w:left="720" w:hanging="720"/>
        <w:jc w:val="both"/>
        <w:rPr>
          <w:rFonts w:ascii="Arial" w:hAnsi="Arial" w:cs="Arial"/>
          <w:sz w:val="20"/>
          <w:szCs w:val="20"/>
        </w:rPr>
      </w:pPr>
      <w:r w:rsidRPr="008D00F9">
        <w:rPr>
          <w:rFonts w:ascii="Arial" w:hAnsi="Arial" w:cs="Arial"/>
          <w:sz w:val="20"/>
          <w:szCs w:val="20"/>
        </w:rPr>
        <w:t>9.3.3</w:t>
      </w:r>
      <w:r>
        <w:rPr>
          <w:rFonts w:ascii="Arial" w:hAnsi="Arial" w:cs="Arial"/>
          <w:sz w:val="20"/>
          <w:szCs w:val="20"/>
        </w:rPr>
        <w:tab/>
      </w:r>
      <w:r w:rsidR="0074768B" w:rsidRPr="008D00F9">
        <w:rPr>
          <w:rFonts w:ascii="Arial" w:hAnsi="Arial" w:cs="Arial"/>
          <w:sz w:val="20"/>
          <w:szCs w:val="20"/>
        </w:rPr>
        <w:t xml:space="preserve">A student's acceptance of an offer of a place in University accommodation constitutes a binding contract to occupy that place for a complete session unless otherwise specified. The student is liable to pay the fees for the whole of the licence period. </w:t>
      </w:r>
    </w:p>
    <w:p w14:paraId="0B5EBC66" w14:textId="77777777" w:rsidR="00C13608" w:rsidRPr="007E74C0" w:rsidRDefault="00C13608" w:rsidP="007E74C0">
      <w:pPr>
        <w:pStyle w:val="ListParagraph"/>
        <w:jc w:val="both"/>
        <w:rPr>
          <w:rFonts w:ascii="Arial" w:hAnsi="Arial" w:cs="Arial"/>
          <w:sz w:val="20"/>
          <w:szCs w:val="20"/>
        </w:rPr>
      </w:pPr>
    </w:p>
    <w:p w14:paraId="5005C692" w14:textId="71E42087" w:rsidR="00C30C92" w:rsidRPr="00692B98" w:rsidRDefault="00692B98" w:rsidP="00692B98">
      <w:pPr>
        <w:spacing w:after="0" w:line="240" w:lineRule="auto"/>
        <w:ind w:left="720" w:hanging="720"/>
        <w:jc w:val="both"/>
        <w:rPr>
          <w:rFonts w:ascii="Arial" w:hAnsi="Arial" w:cs="Arial"/>
          <w:sz w:val="20"/>
          <w:szCs w:val="20"/>
        </w:rPr>
      </w:pPr>
      <w:r w:rsidRPr="00692B98">
        <w:rPr>
          <w:rFonts w:ascii="Arial" w:hAnsi="Arial" w:cs="Arial"/>
          <w:sz w:val="20"/>
          <w:szCs w:val="20"/>
        </w:rPr>
        <w:t>9.3.4</w:t>
      </w:r>
      <w:r>
        <w:rPr>
          <w:rFonts w:ascii="Arial" w:hAnsi="Arial" w:cs="Arial"/>
          <w:sz w:val="20"/>
          <w:szCs w:val="20"/>
        </w:rPr>
        <w:tab/>
      </w:r>
      <w:r w:rsidR="00C13608" w:rsidRPr="00692B98">
        <w:rPr>
          <w:rFonts w:ascii="Arial" w:hAnsi="Arial" w:cs="Arial"/>
          <w:sz w:val="20"/>
          <w:szCs w:val="20"/>
        </w:rPr>
        <w:t>The accommodation invoice is automatically generated when the ‘key issued’ field is populated on the accommodation module. The full contract value is raised when the ‘key issued’ date is equal to or later than the contract start date. Where the ‘key issued’ date is earlier than the contract start date, additional daily fees are added to the invoice value.</w:t>
      </w:r>
      <w:r w:rsidR="00C30C92" w:rsidRPr="00692B98">
        <w:rPr>
          <w:rFonts w:ascii="Arial" w:hAnsi="Arial" w:cs="Arial"/>
          <w:sz w:val="20"/>
          <w:szCs w:val="20"/>
        </w:rPr>
        <w:t xml:space="preserve"> </w:t>
      </w:r>
    </w:p>
    <w:p w14:paraId="089FAC54" w14:textId="77777777" w:rsidR="00C30C92" w:rsidRPr="007E74C0" w:rsidRDefault="00C30C92" w:rsidP="007E74C0">
      <w:pPr>
        <w:pStyle w:val="ListParagraph"/>
        <w:jc w:val="both"/>
        <w:rPr>
          <w:rFonts w:ascii="Arial" w:hAnsi="Arial" w:cs="Arial"/>
          <w:sz w:val="20"/>
          <w:szCs w:val="20"/>
        </w:rPr>
      </w:pPr>
    </w:p>
    <w:p w14:paraId="59EB6925" w14:textId="703EFA1A" w:rsidR="00C30C92" w:rsidRPr="00692B98" w:rsidRDefault="00692B98" w:rsidP="00692B98">
      <w:pPr>
        <w:spacing w:after="0" w:line="240" w:lineRule="auto"/>
        <w:ind w:left="720" w:hanging="720"/>
        <w:jc w:val="both"/>
        <w:rPr>
          <w:rFonts w:ascii="Arial" w:hAnsi="Arial" w:cs="Arial"/>
          <w:sz w:val="20"/>
          <w:szCs w:val="20"/>
        </w:rPr>
      </w:pPr>
      <w:r w:rsidRPr="00692B98">
        <w:rPr>
          <w:rFonts w:ascii="Arial" w:hAnsi="Arial" w:cs="Arial"/>
          <w:sz w:val="20"/>
          <w:szCs w:val="20"/>
        </w:rPr>
        <w:t>9.3.5</w:t>
      </w:r>
      <w:r>
        <w:rPr>
          <w:rFonts w:ascii="Arial" w:hAnsi="Arial" w:cs="Arial"/>
          <w:sz w:val="20"/>
          <w:szCs w:val="20"/>
        </w:rPr>
        <w:tab/>
      </w:r>
      <w:r w:rsidR="00C30C92" w:rsidRPr="00692B98">
        <w:rPr>
          <w:rFonts w:ascii="Arial" w:hAnsi="Arial" w:cs="Arial"/>
          <w:sz w:val="20"/>
          <w:szCs w:val="20"/>
        </w:rPr>
        <w:t>Every automatically generated accommodation fee transaction will include the following data fields from the student record:</w:t>
      </w:r>
    </w:p>
    <w:p w14:paraId="511860B2" w14:textId="77777777" w:rsidR="00C30C92" w:rsidRPr="00C30C92" w:rsidRDefault="00C30C92" w:rsidP="00C30C92">
      <w:pPr>
        <w:spacing w:after="0" w:line="240" w:lineRule="auto"/>
        <w:rPr>
          <w:sz w:val="20"/>
          <w:szCs w:val="20"/>
        </w:rPr>
      </w:pPr>
    </w:p>
    <w:p w14:paraId="72E73E63" w14:textId="1F53A964" w:rsidR="00295A55" w:rsidRPr="007E74C0" w:rsidRDefault="00C30C92" w:rsidP="00295A55">
      <w:pPr>
        <w:spacing w:after="0" w:line="240" w:lineRule="auto"/>
        <w:ind w:firstLine="720"/>
        <w:jc w:val="both"/>
        <w:rPr>
          <w:rFonts w:ascii="Arial" w:hAnsi="Arial" w:cs="Arial"/>
          <w:sz w:val="20"/>
          <w:szCs w:val="20"/>
        </w:rPr>
      </w:pPr>
      <w:r w:rsidRPr="007E74C0">
        <w:rPr>
          <w:rFonts w:ascii="Arial" w:hAnsi="Arial" w:cs="Arial"/>
          <w:sz w:val="20"/>
          <w:szCs w:val="20"/>
        </w:rPr>
        <w:t>Cat 3 – Sponsor</w:t>
      </w:r>
    </w:p>
    <w:p w14:paraId="358B02B5" w14:textId="440B5380" w:rsidR="00C30C92" w:rsidRPr="007E74C0" w:rsidRDefault="00C30C92" w:rsidP="00C30C92">
      <w:pPr>
        <w:spacing w:after="0" w:line="240" w:lineRule="auto"/>
        <w:ind w:firstLine="720"/>
        <w:jc w:val="both"/>
        <w:rPr>
          <w:rFonts w:ascii="Arial" w:hAnsi="Arial" w:cs="Arial"/>
          <w:sz w:val="20"/>
          <w:szCs w:val="20"/>
        </w:rPr>
      </w:pPr>
      <w:r w:rsidRPr="007E74C0">
        <w:rPr>
          <w:rFonts w:ascii="Arial" w:hAnsi="Arial" w:cs="Arial"/>
          <w:sz w:val="20"/>
          <w:szCs w:val="20"/>
        </w:rPr>
        <w:t>Cat 5 – Hall Code</w:t>
      </w:r>
    </w:p>
    <w:p w14:paraId="30F3B5C4" w14:textId="77777777" w:rsidR="00C30C92" w:rsidRPr="007E74C0" w:rsidRDefault="00C30C92" w:rsidP="00C30C92">
      <w:pPr>
        <w:spacing w:after="0" w:line="240" w:lineRule="auto"/>
        <w:ind w:firstLine="720"/>
        <w:jc w:val="both"/>
        <w:rPr>
          <w:rFonts w:ascii="Arial" w:hAnsi="Arial" w:cs="Arial"/>
          <w:sz w:val="20"/>
          <w:szCs w:val="20"/>
        </w:rPr>
      </w:pPr>
      <w:r w:rsidRPr="007E74C0">
        <w:rPr>
          <w:rFonts w:ascii="Arial" w:hAnsi="Arial" w:cs="Arial"/>
          <w:sz w:val="20"/>
          <w:szCs w:val="20"/>
        </w:rPr>
        <w:t>Cat 6 – Fee Type</w:t>
      </w:r>
    </w:p>
    <w:p w14:paraId="1090FC25" w14:textId="6AE1A7C1" w:rsidR="00C30C92" w:rsidRPr="007E74C0" w:rsidRDefault="00C30C92" w:rsidP="00C30C92">
      <w:pPr>
        <w:spacing w:after="0" w:line="240" w:lineRule="auto"/>
        <w:ind w:firstLine="720"/>
        <w:jc w:val="both"/>
        <w:rPr>
          <w:rFonts w:ascii="Arial" w:hAnsi="Arial" w:cs="Arial"/>
          <w:sz w:val="20"/>
          <w:szCs w:val="20"/>
        </w:rPr>
      </w:pPr>
      <w:r w:rsidRPr="007E74C0">
        <w:rPr>
          <w:rFonts w:ascii="Arial" w:hAnsi="Arial" w:cs="Arial"/>
          <w:sz w:val="20"/>
          <w:szCs w:val="20"/>
        </w:rPr>
        <w:t>Cat 7 – Academic Year</w:t>
      </w:r>
    </w:p>
    <w:p w14:paraId="6DED76B8" w14:textId="49F073E5" w:rsidR="00C30C92" w:rsidRPr="007E74C0" w:rsidRDefault="00C30C92" w:rsidP="00C30C92">
      <w:pPr>
        <w:spacing w:after="0" w:line="240" w:lineRule="auto"/>
        <w:ind w:firstLine="720"/>
        <w:jc w:val="both"/>
        <w:rPr>
          <w:rFonts w:ascii="Arial" w:hAnsi="Arial" w:cs="Arial"/>
          <w:sz w:val="20"/>
          <w:szCs w:val="20"/>
        </w:rPr>
      </w:pPr>
    </w:p>
    <w:p w14:paraId="0506F1AE" w14:textId="4AC0AF1A" w:rsidR="00C30C92" w:rsidRPr="00692B98" w:rsidRDefault="00692B98" w:rsidP="00692B98">
      <w:pPr>
        <w:spacing w:after="0" w:line="240" w:lineRule="auto"/>
        <w:ind w:left="720" w:hanging="720"/>
        <w:jc w:val="both"/>
        <w:rPr>
          <w:rFonts w:ascii="Arial" w:hAnsi="Arial" w:cs="Arial"/>
          <w:sz w:val="20"/>
          <w:szCs w:val="20"/>
        </w:rPr>
      </w:pPr>
      <w:r w:rsidRPr="00692B98">
        <w:rPr>
          <w:rFonts w:ascii="Arial" w:hAnsi="Arial" w:cs="Arial"/>
          <w:sz w:val="20"/>
          <w:szCs w:val="20"/>
        </w:rPr>
        <w:t>9.3.6</w:t>
      </w:r>
      <w:r>
        <w:rPr>
          <w:rFonts w:ascii="Arial" w:hAnsi="Arial" w:cs="Arial"/>
          <w:sz w:val="20"/>
          <w:szCs w:val="20"/>
        </w:rPr>
        <w:tab/>
      </w:r>
      <w:r w:rsidR="00C30C92" w:rsidRPr="00692B98">
        <w:rPr>
          <w:rFonts w:ascii="Arial" w:hAnsi="Arial" w:cs="Arial"/>
          <w:sz w:val="20"/>
          <w:szCs w:val="20"/>
        </w:rPr>
        <w:t>The sponsor field (Cat 3) will default to “SELF” meaning that the liability is that of the student. The hall code field (Cat 5) will display the four-letter code for the applicable residence.</w:t>
      </w:r>
    </w:p>
    <w:p w14:paraId="6D1539DF" w14:textId="380BD34C" w:rsidR="00EB7D13" w:rsidRDefault="00EB7D13" w:rsidP="00EB7D13">
      <w:pPr>
        <w:pStyle w:val="ListParagraph"/>
        <w:spacing w:after="0" w:line="240" w:lineRule="auto"/>
        <w:jc w:val="both"/>
        <w:rPr>
          <w:rFonts w:cstheme="minorHAnsi"/>
          <w:sz w:val="20"/>
          <w:szCs w:val="20"/>
        </w:rPr>
      </w:pPr>
    </w:p>
    <w:p w14:paraId="0E20BCDF" w14:textId="1C2638AD" w:rsidR="00EB7D13" w:rsidRPr="00692B98" w:rsidRDefault="00692B98" w:rsidP="00692B98">
      <w:pPr>
        <w:spacing w:after="0" w:line="240" w:lineRule="auto"/>
        <w:ind w:left="720" w:hanging="720"/>
        <w:jc w:val="both"/>
        <w:rPr>
          <w:rFonts w:ascii="Arial" w:hAnsi="Arial" w:cs="Arial"/>
          <w:sz w:val="20"/>
          <w:szCs w:val="20"/>
        </w:rPr>
      </w:pPr>
      <w:r w:rsidRPr="00692B98">
        <w:rPr>
          <w:rFonts w:ascii="Arial" w:hAnsi="Arial" w:cs="Arial"/>
          <w:sz w:val="20"/>
          <w:szCs w:val="20"/>
        </w:rPr>
        <w:t>9.3</w:t>
      </w:r>
      <w:r>
        <w:rPr>
          <w:rFonts w:ascii="Arial" w:hAnsi="Arial" w:cs="Arial"/>
          <w:sz w:val="20"/>
          <w:szCs w:val="20"/>
        </w:rPr>
        <w:t>.7</w:t>
      </w:r>
      <w:r>
        <w:rPr>
          <w:rFonts w:ascii="Arial" w:hAnsi="Arial" w:cs="Arial"/>
          <w:sz w:val="20"/>
          <w:szCs w:val="20"/>
        </w:rPr>
        <w:tab/>
      </w:r>
      <w:r w:rsidR="0074768B" w:rsidRPr="00692B98">
        <w:rPr>
          <w:rFonts w:ascii="Arial" w:hAnsi="Arial" w:cs="Arial"/>
          <w:sz w:val="20"/>
          <w:szCs w:val="20"/>
        </w:rPr>
        <w:t>As part of the online Accommodation Licence Pack, in addition to the payment of the acceptance fee</w:t>
      </w:r>
      <w:r w:rsidR="00DB10CA" w:rsidRPr="00692B98">
        <w:rPr>
          <w:rFonts w:ascii="Arial" w:hAnsi="Arial" w:cs="Arial"/>
          <w:sz w:val="20"/>
          <w:szCs w:val="20"/>
        </w:rPr>
        <w:t xml:space="preserve"> by debit/credit card</w:t>
      </w:r>
      <w:r w:rsidR="0074768B" w:rsidRPr="00692B98">
        <w:rPr>
          <w:rFonts w:ascii="Arial" w:hAnsi="Arial" w:cs="Arial"/>
          <w:sz w:val="20"/>
          <w:szCs w:val="20"/>
        </w:rPr>
        <w:t xml:space="preserve">, the student will choose whether to pay the annual accommodation fees in full as a single payment in October or by a maximum of three equal instalments in October, January and April. The date of the final payment is subject to change to align with receipt of student maintenance loans. </w:t>
      </w:r>
      <w:r w:rsidR="00DB10CA" w:rsidRPr="00692B98">
        <w:rPr>
          <w:rFonts w:ascii="Arial" w:hAnsi="Arial" w:cs="Arial"/>
          <w:sz w:val="20"/>
          <w:szCs w:val="20"/>
        </w:rPr>
        <w:t>The same debit/credit card details will be registered for the a</w:t>
      </w:r>
      <w:r w:rsidR="0074768B" w:rsidRPr="00692B98">
        <w:rPr>
          <w:rFonts w:ascii="Arial" w:hAnsi="Arial" w:cs="Arial"/>
          <w:sz w:val="20"/>
          <w:szCs w:val="20"/>
        </w:rPr>
        <w:t>ccommodation fee payments. If required, the card details can be amended in advance of instalment dates.</w:t>
      </w:r>
      <w:r w:rsidR="00DB10CA" w:rsidRPr="00692B98">
        <w:rPr>
          <w:rFonts w:ascii="Arial" w:hAnsi="Arial" w:cs="Arial"/>
          <w:sz w:val="20"/>
          <w:szCs w:val="20"/>
        </w:rPr>
        <w:t xml:space="preserve"> This is the only payment method available where the cost can be spread over the academic year.</w:t>
      </w:r>
    </w:p>
    <w:p w14:paraId="39FA9EE1" w14:textId="77777777" w:rsidR="00DB10CA" w:rsidRPr="007E74C0" w:rsidRDefault="00DB10CA" w:rsidP="007E74C0">
      <w:pPr>
        <w:pStyle w:val="ListParagraph"/>
        <w:jc w:val="both"/>
        <w:rPr>
          <w:rFonts w:ascii="Arial" w:hAnsi="Arial" w:cs="Arial"/>
          <w:sz w:val="20"/>
          <w:szCs w:val="20"/>
        </w:rPr>
      </w:pPr>
    </w:p>
    <w:p w14:paraId="334A06FB" w14:textId="0CBBC52D" w:rsidR="00DB10CA" w:rsidRPr="00692B98" w:rsidRDefault="00692B98" w:rsidP="00692B98">
      <w:pPr>
        <w:spacing w:after="0" w:line="240" w:lineRule="auto"/>
        <w:ind w:left="720" w:hanging="720"/>
        <w:jc w:val="both"/>
        <w:rPr>
          <w:rFonts w:ascii="Arial" w:hAnsi="Arial" w:cs="Arial"/>
          <w:sz w:val="20"/>
          <w:szCs w:val="20"/>
        </w:rPr>
      </w:pPr>
      <w:r w:rsidRPr="00692B98">
        <w:rPr>
          <w:rFonts w:ascii="Arial" w:hAnsi="Arial" w:cs="Arial"/>
          <w:sz w:val="20"/>
          <w:szCs w:val="20"/>
        </w:rPr>
        <w:t>9.3.8</w:t>
      </w:r>
      <w:r>
        <w:rPr>
          <w:rFonts w:ascii="Arial" w:hAnsi="Arial" w:cs="Arial"/>
          <w:sz w:val="20"/>
          <w:szCs w:val="20"/>
        </w:rPr>
        <w:tab/>
      </w:r>
      <w:r w:rsidR="001F79DE" w:rsidRPr="00692B98">
        <w:rPr>
          <w:rFonts w:ascii="Arial" w:hAnsi="Arial" w:cs="Arial"/>
          <w:sz w:val="20"/>
          <w:szCs w:val="20"/>
        </w:rPr>
        <w:t>A</w:t>
      </w:r>
      <w:r w:rsidR="00E13ADF" w:rsidRPr="00692B98">
        <w:rPr>
          <w:rFonts w:ascii="Arial" w:hAnsi="Arial" w:cs="Arial"/>
          <w:sz w:val="20"/>
          <w:szCs w:val="20"/>
        </w:rPr>
        <w:t xml:space="preserve">pproval for release from the contract can only be given by the Accommodation Office on approved medical, welfare or academic grounds. </w:t>
      </w:r>
      <w:r w:rsidR="001F79DE" w:rsidRPr="00692B98">
        <w:rPr>
          <w:rFonts w:ascii="Arial" w:hAnsi="Arial" w:cs="Arial"/>
          <w:sz w:val="20"/>
          <w:szCs w:val="20"/>
        </w:rPr>
        <w:t>Where approval has been given</w:t>
      </w:r>
      <w:r w:rsidR="00E13ADF" w:rsidRPr="00692B98">
        <w:rPr>
          <w:rFonts w:ascii="Arial" w:hAnsi="Arial" w:cs="Arial"/>
          <w:sz w:val="20"/>
          <w:szCs w:val="20"/>
        </w:rPr>
        <w:t xml:space="preserve">, </w:t>
      </w:r>
      <w:r w:rsidR="001F79DE" w:rsidRPr="00692B98">
        <w:rPr>
          <w:rFonts w:ascii="Arial" w:hAnsi="Arial" w:cs="Arial"/>
          <w:sz w:val="20"/>
          <w:szCs w:val="20"/>
        </w:rPr>
        <w:t>the student</w:t>
      </w:r>
      <w:r w:rsidR="00E13ADF" w:rsidRPr="00692B98">
        <w:rPr>
          <w:rFonts w:ascii="Arial" w:hAnsi="Arial" w:cs="Arial"/>
          <w:sz w:val="20"/>
          <w:szCs w:val="20"/>
        </w:rPr>
        <w:t xml:space="preserve"> </w:t>
      </w:r>
      <w:r w:rsidR="001F79DE" w:rsidRPr="00692B98">
        <w:rPr>
          <w:rFonts w:ascii="Arial" w:hAnsi="Arial" w:cs="Arial"/>
          <w:sz w:val="20"/>
          <w:szCs w:val="20"/>
        </w:rPr>
        <w:t>is</w:t>
      </w:r>
      <w:r w:rsidR="00E13ADF" w:rsidRPr="00692B98">
        <w:rPr>
          <w:rFonts w:ascii="Arial" w:hAnsi="Arial" w:cs="Arial"/>
          <w:sz w:val="20"/>
          <w:szCs w:val="20"/>
        </w:rPr>
        <w:t xml:space="preserve"> liable </w:t>
      </w:r>
      <w:r w:rsidR="001F79DE" w:rsidRPr="00692B98">
        <w:rPr>
          <w:rFonts w:ascii="Arial" w:hAnsi="Arial" w:cs="Arial"/>
          <w:sz w:val="20"/>
          <w:szCs w:val="20"/>
        </w:rPr>
        <w:t xml:space="preserve">for </w:t>
      </w:r>
      <w:r w:rsidR="00E13ADF" w:rsidRPr="00692B98">
        <w:rPr>
          <w:rFonts w:ascii="Arial" w:hAnsi="Arial" w:cs="Arial"/>
          <w:sz w:val="20"/>
          <w:szCs w:val="20"/>
        </w:rPr>
        <w:t>fee</w:t>
      </w:r>
      <w:r w:rsidR="001F79DE" w:rsidRPr="00692B98">
        <w:rPr>
          <w:rFonts w:ascii="Arial" w:hAnsi="Arial" w:cs="Arial"/>
          <w:sz w:val="20"/>
          <w:szCs w:val="20"/>
        </w:rPr>
        <w:t>s</w:t>
      </w:r>
      <w:r w:rsidR="00E13ADF" w:rsidRPr="00692B98">
        <w:rPr>
          <w:rFonts w:ascii="Arial" w:hAnsi="Arial" w:cs="Arial"/>
          <w:sz w:val="20"/>
          <w:szCs w:val="20"/>
        </w:rPr>
        <w:t xml:space="preserve"> due for the period they have been in residence or were otherwise responsible for the accommodation, calculated on a proportionate daily rate.</w:t>
      </w:r>
    </w:p>
    <w:p w14:paraId="7224F458" w14:textId="77777777" w:rsidR="00EB7D13" w:rsidRPr="007E74C0" w:rsidRDefault="00EB7D13" w:rsidP="007E74C0">
      <w:pPr>
        <w:spacing w:after="0" w:line="240" w:lineRule="auto"/>
        <w:jc w:val="both"/>
        <w:rPr>
          <w:rFonts w:ascii="Arial" w:hAnsi="Arial" w:cs="Arial"/>
          <w:sz w:val="20"/>
          <w:szCs w:val="20"/>
        </w:rPr>
      </w:pPr>
    </w:p>
    <w:p w14:paraId="4D307BC8" w14:textId="77777777" w:rsidR="00022D7D" w:rsidRPr="00EB7D13" w:rsidRDefault="00022D7D" w:rsidP="00EB7D13">
      <w:pPr>
        <w:spacing w:before="240" w:line="240" w:lineRule="auto"/>
        <w:jc w:val="both"/>
        <w:rPr>
          <w:rFonts w:cstheme="minorHAnsi"/>
          <w:sz w:val="20"/>
          <w:szCs w:val="20"/>
        </w:rPr>
      </w:pPr>
    </w:p>
    <w:p w14:paraId="24DE00F7" w14:textId="77777777" w:rsidR="000A1AAD" w:rsidRPr="000A1AAD" w:rsidRDefault="000A1AAD" w:rsidP="000A1AAD">
      <w:pPr>
        <w:spacing w:after="0" w:line="336" w:lineRule="atLeast"/>
        <w:rPr>
          <w:sz w:val="20"/>
          <w:szCs w:val="20"/>
        </w:rPr>
      </w:pPr>
    </w:p>
    <w:sectPr w:rsidR="000A1AAD" w:rsidRPr="000A1AAD" w:rsidSect="008D052A">
      <w:headerReference w:type="default" r:id="rId11"/>
      <w:footerReference w:type="default" r:id="rId12"/>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3CF7" w14:textId="77777777" w:rsidR="00F66ADD" w:rsidRDefault="00F66ADD" w:rsidP="00421C4E">
      <w:pPr>
        <w:spacing w:after="0" w:line="240" w:lineRule="auto"/>
      </w:pPr>
      <w:r>
        <w:separator/>
      </w:r>
    </w:p>
  </w:endnote>
  <w:endnote w:type="continuationSeparator" w:id="0">
    <w:p w14:paraId="693D878F" w14:textId="77777777" w:rsidR="00F66ADD" w:rsidRDefault="00F66ADD" w:rsidP="00421C4E">
      <w:pPr>
        <w:spacing w:after="0" w:line="240" w:lineRule="auto"/>
      </w:pPr>
      <w:r>
        <w:continuationSeparator/>
      </w:r>
    </w:p>
  </w:endnote>
  <w:endnote w:type="continuationNotice" w:id="1">
    <w:p w14:paraId="585BB06D" w14:textId="77777777" w:rsidR="00F66ADD" w:rsidRDefault="00F66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7E6B" w14:textId="77777777" w:rsidR="00932FCA" w:rsidRDefault="0093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D99D" w14:textId="77777777" w:rsidR="00F66ADD" w:rsidRDefault="00F66ADD" w:rsidP="00421C4E">
      <w:pPr>
        <w:spacing w:after="0" w:line="240" w:lineRule="auto"/>
      </w:pPr>
      <w:r>
        <w:separator/>
      </w:r>
    </w:p>
  </w:footnote>
  <w:footnote w:type="continuationSeparator" w:id="0">
    <w:p w14:paraId="50766C2D" w14:textId="77777777" w:rsidR="00F66ADD" w:rsidRDefault="00F66ADD" w:rsidP="00421C4E">
      <w:pPr>
        <w:spacing w:after="0" w:line="240" w:lineRule="auto"/>
      </w:pPr>
      <w:r>
        <w:continuationSeparator/>
      </w:r>
    </w:p>
  </w:footnote>
  <w:footnote w:type="continuationNotice" w:id="1">
    <w:p w14:paraId="0BD1A093" w14:textId="77777777" w:rsidR="00F66ADD" w:rsidRDefault="00F66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568B" w14:textId="7AA80A7A" w:rsidR="00421C4E" w:rsidRDefault="00421C4E" w:rsidP="001C74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310"/>
    <w:multiLevelType w:val="multilevel"/>
    <w:tmpl w:val="3DECF238"/>
    <w:lvl w:ilvl="0">
      <w:start w:val="1"/>
      <w:numFmt w:val="bullet"/>
      <w:lvlText w:val=""/>
      <w:lvlJc w:val="left"/>
      <w:pPr>
        <w:tabs>
          <w:tab w:val="num" w:pos="8931"/>
        </w:tabs>
        <w:ind w:left="8931" w:hanging="360"/>
      </w:pPr>
      <w:rPr>
        <w:rFonts w:ascii="Symbol" w:hAnsi="Symbol" w:hint="default"/>
        <w:sz w:val="20"/>
      </w:rPr>
    </w:lvl>
    <w:lvl w:ilvl="1" w:tentative="1">
      <w:start w:val="1"/>
      <w:numFmt w:val="bullet"/>
      <w:lvlText w:val="o"/>
      <w:lvlJc w:val="left"/>
      <w:pPr>
        <w:tabs>
          <w:tab w:val="num" w:pos="9651"/>
        </w:tabs>
        <w:ind w:left="9651" w:hanging="360"/>
      </w:pPr>
      <w:rPr>
        <w:rFonts w:ascii="Courier New" w:hAnsi="Courier New" w:hint="default"/>
        <w:sz w:val="20"/>
      </w:rPr>
    </w:lvl>
    <w:lvl w:ilvl="2" w:tentative="1">
      <w:start w:val="1"/>
      <w:numFmt w:val="bullet"/>
      <w:lvlText w:val=""/>
      <w:lvlJc w:val="left"/>
      <w:pPr>
        <w:tabs>
          <w:tab w:val="num" w:pos="10371"/>
        </w:tabs>
        <w:ind w:left="10371" w:hanging="360"/>
      </w:pPr>
      <w:rPr>
        <w:rFonts w:ascii="Wingdings" w:hAnsi="Wingdings" w:hint="default"/>
        <w:sz w:val="20"/>
      </w:rPr>
    </w:lvl>
    <w:lvl w:ilvl="3" w:tentative="1">
      <w:start w:val="1"/>
      <w:numFmt w:val="bullet"/>
      <w:lvlText w:val=""/>
      <w:lvlJc w:val="left"/>
      <w:pPr>
        <w:tabs>
          <w:tab w:val="num" w:pos="11091"/>
        </w:tabs>
        <w:ind w:left="11091" w:hanging="360"/>
      </w:pPr>
      <w:rPr>
        <w:rFonts w:ascii="Wingdings" w:hAnsi="Wingdings" w:hint="default"/>
        <w:sz w:val="20"/>
      </w:rPr>
    </w:lvl>
    <w:lvl w:ilvl="4" w:tentative="1">
      <w:start w:val="1"/>
      <w:numFmt w:val="bullet"/>
      <w:lvlText w:val=""/>
      <w:lvlJc w:val="left"/>
      <w:pPr>
        <w:tabs>
          <w:tab w:val="num" w:pos="11811"/>
        </w:tabs>
        <w:ind w:left="11811" w:hanging="360"/>
      </w:pPr>
      <w:rPr>
        <w:rFonts w:ascii="Wingdings" w:hAnsi="Wingdings" w:hint="default"/>
        <w:sz w:val="20"/>
      </w:rPr>
    </w:lvl>
    <w:lvl w:ilvl="5" w:tentative="1">
      <w:start w:val="1"/>
      <w:numFmt w:val="bullet"/>
      <w:lvlText w:val=""/>
      <w:lvlJc w:val="left"/>
      <w:pPr>
        <w:tabs>
          <w:tab w:val="num" w:pos="12531"/>
        </w:tabs>
        <w:ind w:left="12531" w:hanging="360"/>
      </w:pPr>
      <w:rPr>
        <w:rFonts w:ascii="Wingdings" w:hAnsi="Wingdings" w:hint="default"/>
        <w:sz w:val="20"/>
      </w:rPr>
    </w:lvl>
    <w:lvl w:ilvl="6" w:tentative="1">
      <w:start w:val="1"/>
      <w:numFmt w:val="bullet"/>
      <w:lvlText w:val=""/>
      <w:lvlJc w:val="left"/>
      <w:pPr>
        <w:tabs>
          <w:tab w:val="num" w:pos="13251"/>
        </w:tabs>
        <w:ind w:left="13251" w:hanging="360"/>
      </w:pPr>
      <w:rPr>
        <w:rFonts w:ascii="Wingdings" w:hAnsi="Wingdings" w:hint="default"/>
        <w:sz w:val="20"/>
      </w:rPr>
    </w:lvl>
    <w:lvl w:ilvl="7" w:tentative="1">
      <w:start w:val="1"/>
      <w:numFmt w:val="bullet"/>
      <w:lvlText w:val=""/>
      <w:lvlJc w:val="left"/>
      <w:pPr>
        <w:tabs>
          <w:tab w:val="num" w:pos="13971"/>
        </w:tabs>
        <w:ind w:left="13971" w:hanging="360"/>
      </w:pPr>
      <w:rPr>
        <w:rFonts w:ascii="Wingdings" w:hAnsi="Wingdings" w:hint="default"/>
        <w:sz w:val="20"/>
      </w:rPr>
    </w:lvl>
    <w:lvl w:ilvl="8" w:tentative="1">
      <w:start w:val="1"/>
      <w:numFmt w:val="bullet"/>
      <w:lvlText w:val=""/>
      <w:lvlJc w:val="left"/>
      <w:pPr>
        <w:tabs>
          <w:tab w:val="num" w:pos="14691"/>
        </w:tabs>
        <w:ind w:left="14691" w:hanging="360"/>
      </w:pPr>
      <w:rPr>
        <w:rFonts w:ascii="Wingdings" w:hAnsi="Wingdings" w:hint="default"/>
        <w:sz w:val="20"/>
      </w:rPr>
    </w:lvl>
  </w:abstractNum>
  <w:abstractNum w:abstractNumId="1" w15:restartNumberingAfterBreak="0">
    <w:nsid w:val="12807E90"/>
    <w:multiLevelType w:val="hybridMultilevel"/>
    <w:tmpl w:val="7116CB00"/>
    <w:lvl w:ilvl="0" w:tplc="ECB811A4">
      <w:start w:val="1"/>
      <w:numFmt w:val="decimal"/>
      <w:lvlText w:val="9.5.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14CFB"/>
    <w:multiLevelType w:val="hybridMultilevel"/>
    <w:tmpl w:val="5DBC4F04"/>
    <w:lvl w:ilvl="0" w:tplc="4C002214">
      <w:start w:val="1"/>
      <w:numFmt w:val="decimal"/>
      <w:lvlText w:val="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51972"/>
    <w:multiLevelType w:val="multilevel"/>
    <w:tmpl w:val="A638360C"/>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7752A0"/>
    <w:multiLevelType w:val="hybridMultilevel"/>
    <w:tmpl w:val="F012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717C8"/>
    <w:multiLevelType w:val="hybridMultilevel"/>
    <w:tmpl w:val="0C92879E"/>
    <w:lvl w:ilvl="0" w:tplc="3E98B096">
      <w:start w:val="1"/>
      <w:numFmt w:val="decimal"/>
      <w:lvlText w:val="9.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50903"/>
    <w:multiLevelType w:val="hybridMultilevel"/>
    <w:tmpl w:val="BB36791A"/>
    <w:lvl w:ilvl="0" w:tplc="7C7ADD98">
      <w:numFmt w:val="decimal"/>
      <w:lvlText w:val="9.3.%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DA64BCA"/>
    <w:multiLevelType w:val="hybridMultilevel"/>
    <w:tmpl w:val="AABEEC1C"/>
    <w:lvl w:ilvl="0" w:tplc="36A00510">
      <w:start w:val="4"/>
      <w:numFmt w:val="decimal"/>
      <w:lvlText w:val="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014F9E"/>
    <w:multiLevelType w:val="hybridMultilevel"/>
    <w:tmpl w:val="BFC2FBC6"/>
    <w:lvl w:ilvl="0" w:tplc="0CB6F586">
      <w:start w:val="1"/>
      <w:numFmt w:val="decimal"/>
      <w:lvlText w:val="9.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D48AE"/>
    <w:multiLevelType w:val="hybridMultilevel"/>
    <w:tmpl w:val="5ABA1B30"/>
    <w:lvl w:ilvl="0" w:tplc="52F63C68">
      <w:start w:val="1"/>
      <w:numFmt w:val="decimal"/>
      <w:lvlText w:val="9.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6C67FA2"/>
    <w:multiLevelType w:val="hybridMultilevel"/>
    <w:tmpl w:val="986291BC"/>
    <w:lvl w:ilvl="0" w:tplc="A0C0525A">
      <w:start w:val="1"/>
      <w:numFmt w:val="decimal"/>
      <w:lvlText w:val="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E82035"/>
    <w:multiLevelType w:val="hybridMultilevel"/>
    <w:tmpl w:val="B1F0F85C"/>
    <w:lvl w:ilvl="0" w:tplc="52F63C68">
      <w:start w:val="1"/>
      <w:numFmt w:val="decimal"/>
      <w:lvlText w:val="9.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A57F5"/>
    <w:multiLevelType w:val="hybridMultilevel"/>
    <w:tmpl w:val="02F84636"/>
    <w:lvl w:ilvl="0" w:tplc="4C002214">
      <w:start w:val="1"/>
      <w:numFmt w:val="decimal"/>
      <w:lvlText w:val="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2"/>
  </w:num>
  <w:num w:numId="5">
    <w:abstractNumId w:val="8"/>
  </w:num>
  <w:num w:numId="6">
    <w:abstractNumId w:val="0"/>
  </w:num>
  <w:num w:numId="7">
    <w:abstractNumId w:val="10"/>
  </w:num>
  <w:num w:numId="8">
    <w:abstractNumId w:val="1"/>
  </w:num>
  <w:num w:numId="9">
    <w:abstractNumId w:val="11"/>
  </w:num>
  <w:num w:numId="10">
    <w:abstractNumId w:val="3"/>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9D"/>
    <w:rsid w:val="00022D7D"/>
    <w:rsid w:val="000610EF"/>
    <w:rsid w:val="000A1AAD"/>
    <w:rsid w:val="000C10DE"/>
    <w:rsid w:val="000D1399"/>
    <w:rsid w:val="00117C01"/>
    <w:rsid w:val="001251B7"/>
    <w:rsid w:val="00147D78"/>
    <w:rsid w:val="00181DFB"/>
    <w:rsid w:val="001A6196"/>
    <w:rsid w:val="001B0B4C"/>
    <w:rsid w:val="001C74B1"/>
    <w:rsid w:val="001D44E1"/>
    <w:rsid w:val="001F7860"/>
    <w:rsid w:val="001F79DE"/>
    <w:rsid w:val="002264B6"/>
    <w:rsid w:val="00295A55"/>
    <w:rsid w:val="002A2D39"/>
    <w:rsid w:val="002A343A"/>
    <w:rsid w:val="002D619D"/>
    <w:rsid w:val="002E3BBE"/>
    <w:rsid w:val="00316DD6"/>
    <w:rsid w:val="00350510"/>
    <w:rsid w:val="0037173C"/>
    <w:rsid w:val="003E724B"/>
    <w:rsid w:val="00421C4E"/>
    <w:rsid w:val="00430F57"/>
    <w:rsid w:val="00483AB5"/>
    <w:rsid w:val="00486320"/>
    <w:rsid w:val="0048638E"/>
    <w:rsid w:val="004A74BC"/>
    <w:rsid w:val="00501141"/>
    <w:rsid w:val="00517B5B"/>
    <w:rsid w:val="005349B2"/>
    <w:rsid w:val="00560E7F"/>
    <w:rsid w:val="005665A9"/>
    <w:rsid w:val="005812C5"/>
    <w:rsid w:val="005E1D66"/>
    <w:rsid w:val="0061632F"/>
    <w:rsid w:val="006508F8"/>
    <w:rsid w:val="00654BC4"/>
    <w:rsid w:val="00692B98"/>
    <w:rsid w:val="006C20BC"/>
    <w:rsid w:val="006E46DC"/>
    <w:rsid w:val="00721A68"/>
    <w:rsid w:val="0074768B"/>
    <w:rsid w:val="00795EE2"/>
    <w:rsid w:val="007D19FC"/>
    <w:rsid w:val="007D20EC"/>
    <w:rsid w:val="007E74C0"/>
    <w:rsid w:val="00823093"/>
    <w:rsid w:val="008A7F71"/>
    <w:rsid w:val="008B4DBD"/>
    <w:rsid w:val="008D00F9"/>
    <w:rsid w:val="008D052A"/>
    <w:rsid w:val="008E1D1D"/>
    <w:rsid w:val="008F5EA2"/>
    <w:rsid w:val="0090348B"/>
    <w:rsid w:val="00904485"/>
    <w:rsid w:val="00932FCA"/>
    <w:rsid w:val="00965F71"/>
    <w:rsid w:val="00980B05"/>
    <w:rsid w:val="00994C97"/>
    <w:rsid w:val="009F51A6"/>
    <w:rsid w:val="00A165C8"/>
    <w:rsid w:val="00A32611"/>
    <w:rsid w:val="00A63B68"/>
    <w:rsid w:val="00A96AC5"/>
    <w:rsid w:val="00A97A07"/>
    <w:rsid w:val="00AA5A98"/>
    <w:rsid w:val="00AC1DE9"/>
    <w:rsid w:val="00AD18C3"/>
    <w:rsid w:val="00AE6D37"/>
    <w:rsid w:val="00AF0A0A"/>
    <w:rsid w:val="00AF4D41"/>
    <w:rsid w:val="00B07A62"/>
    <w:rsid w:val="00BD0045"/>
    <w:rsid w:val="00BF65DD"/>
    <w:rsid w:val="00C12B9E"/>
    <w:rsid w:val="00C13608"/>
    <w:rsid w:val="00C20C55"/>
    <w:rsid w:val="00C30C92"/>
    <w:rsid w:val="00C929E1"/>
    <w:rsid w:val="00CB269D"/>
    <w:rsid w:val="00D20E35"/>
    <w:rsid w:val="00D35B45"/>
    <w:rsid w:val="00DA35B7"/>
    <w:rsid w:val="00DB10CA"/>
    <w:rsid w:val="00E00333"/>
    <w:rsid w:val="00E13ADF"/>
    <w:rsid w:val="00E803C3"/>
    <w:rsid w:val="00E92FCF"/>
    <w:rsid w:val="00E93DAD"/>
    <w:rsid w:val="00EA344A"/>
    <w:rsid w:val="00EB7D13"/>
    <w:rsid w:val="00ED1603"/>
    <w:rsid w:val="00F33592"/>
    <w:rsid w:val="00F3579B"/>
    <w:rsid w:val="00F66ADD"/>
    <w:rsid w:val="00FB3191"/>
    <w:rsid w:val="00FB6D60"/>
    <w:rsid w:val="00FB7E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3B53"/>
  <w15:chartTrackingRefBased/>
  <w15:docId w15:val="{8EBB7FB7-9F98-4CAD-A6B4-7ED27742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20"/>
    <w:rPr>
      <w:rFonts w:ascii="Segoe UI" w:hAnsi="Segoe UI" w:cs="Segoe UI"/>
      <w:sz w:val="18"/>
      <w:szCs w:val="18"/>
    </w:rPr>
  </w:style>
  <w:style w:type="paragraph" w:styleId="NormalWeb">
    <w:name w:val="Normal (Web)"/>
    <w:basedOn w:val="Normal"/>
    <w:uiPriority w:val="99"/>
    <w:semiHidden/>
    <w:unhideWhenUsed/>
    <w:rsid w:val="00FB6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46DC"/>
    <w:pPr>
      <w:ind w:left="720"/>
      <w:contextualSpacing/>
    </w:pPr>
  </w:style>
  <w:style w:type="table" w:styleId="TableGrid">
    <w:name w:val="Table Grid"/>
    <w:basedOn w:val="TableNormal"/>
    <w:uiPriority w:val="39"/>
    <w:rsid w:val="007D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10CA"/>
    <w:rPr>
      <w:b/>
      <w:bCs/>
    </w:rPr>
  </w:style>
  <w:style w:type="paragraph" w:styleId="Header">
    <w:name w:val="header"/>
    <w:basedOn w:val="Normal"/>
    <w:link w:val="HeaderChar"/>
    <w:uiPriority w:val="99"/>
    <w:unhideWhenUsed/>
    <w:rsid w:val="00421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C4E"/>
  </w:style>
  <w:style w:type="paragraph" w:styleId="Footer">
    <w:name w:val="footer"/>
    <w:basedOn w:val="Normal"/>
    <w:link w:val="FooterChar"/>
    <w:uiPriority w:val="99"/>
    <w:unhideWhenUsed/>
    <w:rsid w:val="00421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C4E"/>
  </w:style>
  <w:style w:type="paragraph" w:styleId="Title">
    <w:name w:val="Title"/>
    <w:basedOn w:val="Normal"/>
    <w:next w:val="Normal"/>
    <w:link w:val="TitleChar"/>
    <w:uiPriority w:val="10"/>
    <w:qFormat/>
    <w:rsid w:val="00E00333"/>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E00333"/>
    <w:rPr>
      <w:rFonts w:asciiTheme="majorHAnsi" w:eastAsiaTheme="majorEastAsia" w:hAnsiTheme="majorHAnsi" w:cstheme="majorBidi"/>
      <w:spacing w:val="-10"/>
      <w:kern w:val="28"/>
      <w:sz w:val="56"/>
      <w:szCs w:val="56"/>
      <w:lang w:val="en-US"/>
    </w:rPr>
  </w:style>
  <w:style w:type="character" w:styleId="SubtleReference">
    <w:name w:val="Subtle Reference"/>
    <w:basedOn w:val="DefaultParagraphFont"/>
    <w:uiPriority w:val="31"/>
    <w:qFormat/>
    <w:rsid w:val="00E00333"/>
    <w:rPr>
      <w:smallCaps/>
      <w:color w:val="5A5A5A" w:themeColor="text1" w:themeTint="A5"/>
    </w:rPr>
  </w:style>
  <w:style w:type="paragraph" w:customStyle="1" w:styleId="paragraph">
    <w:name w:val="paragraph"/>
    <w:basedOn w:val="Normal"/>
    <w:rsid w:val="00E00333"/>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0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3317">
      <w:bodyDiv w:val="1"/>
      <w:marLeft w:val="0"/>
      <w:marRight w:val="0"/>
      <w:marTop w:val="0"/>
      <w:marBottom w:val="0"/>
      <w:divBdr>
        <w:top w:val="none" w:sz="0" w:space="0" w:color="auto"/>
        <w:left w:val="none" w:sz="0" w:space="0" w:color="auto"/>
        <w:bottom w:val="none" w:sz="0" w:space="0" w:color="auto"/>
        <w:right w:val="none" w:sz="0" w:space="0" w:color="auto"/>
      </w:divBdr>
    </w:div>
    <w:div w:id="20317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36C2BEBFD27419B5EFF3BDE711B9F" ma:contentTypeVersion="8" ma:contentTypeDescription="Create a new document." ma:contentTypeScope="" ma:versionID="a061391e4e3e44981bffa8a3948dc64c">
  <xsd:schema xmlns:xsd="http://www.w3.org/2001/XMLSchema" xmlns:xs="http://www.w3.org/2001/XMLSchema" xmlns:p="http://schemas.microsoft.com/office/2006/metadata/properties" xmlns:ns2="6ed2eb10-5bb5-4dc3-99f5-6a7d163603f2" targetNamespace="http://schemas.microsoft.com/office/2006/metadata/properties" ma:root="true" ma:fieldsID="833ca1334f2871394e28b632957cf528" ns2:_="">
    <xsd:import namespace="6ed2eb10-5bb5-4dc3-99f5-6a7d16360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2eb10-5bb5-4dc3-99f5-6a7d16360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ECAB4-8AD4-4C0A-922B-F53B7B5C9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68DC9-EE61-41B7-BD00-7020B2029F59}">
  <ds:schemaRefs>
    <ds:schemaRef ds:uri="http://schemas.microsoft.com/sharepoint/v3/contenttype/forms"/>
  </ds:schemaRefs>
</ds:datastoreItem>
</file>

<file path=customXml/itemProps3.xml><?xml version="1.0" encoding="utf-8"?>
<ds:datastoreItem xmlns:ds="http://schemas.openxmlformats.org/officeDocument/2006/customXml" ds:itemID="{9F4D20AD-44F5-46DE-B11D-7AF3B7FA6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2eb10-5bb5-4dc3-99f5-6a7d16360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8209</Characters>
  <Application>Microsoft Office Word</Application>
  <DocSecurity>0</DocSecurity>
  <Lines>283</Lines>
  <Paragraphs>175</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Emyr Fitter [emf17]</dc:creator>
  <cp:keywords/>
  <dc:description/>
  <cp:lastModifiedBy>Carol Rees [cej] (Staff)</cp:lastModifiedBy>
  <cp:revision>2</cp:revision>
  <dcterms:created xsi:type="dcterms:W3CDTF">2022-02-15T15:35:00Z</dcterms:created>
  <dcterms:modified xsi:type="dcterms:W3CDTF">2022-02-15T15:35:00Z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0x01010079036C2BEBFD27419B5EFF3BDE711B9F</vt:lpwstr>
  </property>
</Properties>
</file>