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778E" w14:textId="77777777" w:rsidR="007223B3" w:rsidRDefault="007223B3" w:rsidP="007223B3">
      <w:pPr>
        <w:jc w:val="center"/>
      </w:pPr>
      <w:bookmarkStart w:id="0" w:name="_Toc478393623"/>
      <w:bookmarkStart w:id="1" w:name="_Toc482799609"/>
      <w:r w:rsidRPr="005864EB">
        <w:rPr>
          <w:rFonts w:ascii="Arial" w:hAnsi="Arial" w:cs="Arial"/>
          <w:noProof/>
        </w:rPr>
        <w:drawing>
          <wp:inline distT="0" distB="0" distL="0" distR="0" wp14:anchorId="034E233B" wp14:editId="67AA4EF2">
            <wp:extent cx="2430780" cy="609600"/>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175C84CA" w14:textId="77777777" w:rsidR="007223B3" w:rsidRDefault="007223B3" w:rsidP="007223B3">
      <w:pPr>
        <w:tabs>
          <w:tab w:val="left" w:pos="709"/>
        </w:tabs>
        <w:rPr>
          <w:rFonts w:eastAsia="Times New Roman"/>
          <w:b/>
          <w:bCs/>
          <w:sz w:val="24"/>
          <w:szCs w:val="24"/>
          <w:u w:val="single"/>
        </w:rPr>
      </w:pPr>
    </w:p>
    <w:p w14:paraId="535EEB36" w14:textId="77777777" w:rsidR="007223B3" w:rsidRPr="003831BD" w:rsidRDefault="007223B3" w:rsidP="007223B3">
      <w:pPr>
        <w:jc w:val="center"/>
        <w:rPr>
          <w:rFonts w:ascii="Arial" w:hAnsi="Arial" w:cs="Arial"/>
          <w:b/>
          <w:bCs/>
          <w:lang w:val="en-US"/>
        </w:rPr>
      </w:pPr>
      <w:r w:rsidRPr="003831BD">
        <w:rPr>
          <w:rFonts w:ascii="Arial" w:hAnsi="Arial" w:cs="Arial"/>
          <w:b/>
          <w:bCs/>
          <w:lang w:val="en-US"/>
        </w:rPr>
        <w:t>FINANCIAL PROCEDURES</w:t>
      </w:r>
    </w:p>
    <w:p w14:paraId="7B724870" w14:textId="77777777" w:rsidR="007223B3" w:rsidRPr="003831BD" w:rsidRDefault="007223B3" w:rsidP="007223B3">
      <w:pPr>
        <w:jc w:val="center"/>
        <w:rPr>
          <w:rFonts w:ascii="Arial" w:hAnsi="Arial" w:cs="Arial"/>
          <w:b/>
          <w:bCs/>
          <w:lang w:val="en-US"/>
        </w:rPr>
      </w:pPr>
    </w:p>
    <w:p w14:paraId="6A51D803" w14:textId="77777777" w:rsidR="007223B3" w:rsidRDefault="007223B3" w:rsidP="007223B3">
      <w:pPr>
        <w:spacing w:after="0"/>
        <w:rPr>
          <w:rFonts w:ascii="Arial" w:hAnsi="Arial" w:cs="Arial"/>
          <w:b/>
          <w:bCs/>
          <w:u w:val="single"/>
          <w:lang w:val="en-US"/>
        </w:rPr>
      </w:pPr>
      <w:r w:rsidRPr="003831BD">
        <w:rPr>
          <w:rFonts w:ascii="Arial" w:hAnsi="Arial" w:cs="Arial"/>
          <w:b/>
          <w:bCs/>
          <w:u w:val="single"/>
          <w:lang w:val="en-US"/>
        </w:rPr>
        <w:t xml:space="preserve">Section </w:t>
      </w:r>
      <w:r>
        <w:rPr>
          <w:rFonts w:ascii="Arial" w:hAnsi="Arial" w:cs="Arial"/>
          <w:b/>
          <w:bCs/>
          <w:u w:val="single"/>
          <w:lang w:val="en-US"/>
        </w:rPr>
        <w:t>15</w:t>
      </w:r>
      <w:r w:rsidRPr="003831BD">
        <w:rPr>
          <w:rFonts w:ascii="Arial" w:hAnsi="Arial" w:cs="Arial"/>
          <w:b/>
          <w:bCs/>
          <w:u w:val="single"/>
          <w:lang w:val="en-US"/>
        </w:rPr>
        <w:t xml:space="preserve"> – </w:t>
      </w:r>
      <w:r>
        <w:rPr>
          <w:rFonts w:ascii="Arial" w:hAnsi="Arial" w:cs="Arial"/>
          <w:b/>
          <w:bCs/>
          <w:u w:val="single"/>
          <w:lang w:val="en-US"/>
        </w:rPr>
        <w:t>Capital Projects and Fixed Assets</w:t>
      </w:r>
    </w:p>
    <w:p w14:paraId="60D8D782" w14:textId="77777777" w:rsidR="007223B3" w:rsidRPr="003831BD" w:rsidRDefault="007223B3" w:rsidP="007223B3">
      <w:pPr>
        <w:spacing w:after="0"/>
        <w:rPr>
          <w:rFonts w:ascii="Arial" w:hAnsi="Arial" w:cs="Arial"/>
          <w:b/>
          <w:bCs/>
          <w:u w:val="single"/>
          <w:lang w:val="en-US"/>
        </w:rPr>
      </w:pPr>
    </w:p>
    <w:p w14:paraId="79D0900F" w14:textId="59036A94" w:rsidR="007223B3" w:rsidRPr="003831BD" w:rsidRDefault="007223B3" w:rsidP="007223B3">
      <w:pPr>
        <w:spacing w:after="0"/>
        <w:rPr>
          <w:rFonts w:ascii="Arial" w:hAnsi="Arial" w:cs="Arial"/>
          <w:lang w:val="en-US"/>
        </w:rPr>
      </w:pPr>
      <w:r w:rsidRPr="003831BD">
        <w:rPr>
          <w:rFonts w:ascii="Arial" w:hAnsi="Arial" w:cs="Arial"/>
          <w:b/>
          <w:bCs/>
          <w:lang w:val="en-US"/>
        </w:rPr>
        <w:t>Approving Body:</w:t>
      </w:r>
      <w:r w:rsidRPr="003831BD">
        <w:rPr>
          <w:rFonts w:ascii="Arial" w:hAnsi="Arial" w:cs="Arial"/>
          <w:lang w:val="en-US"/>
        </w:rPr>
        <w:tab/>
      </w:r>
      <w:r w:rsidRPr="003831BD">
        <w:rPr>
          <w:rFonts w:ascii="Arial" w:hAnsi="Arial" w:cs="Arial"/>
          <w:lang w:val="en-US"/>
        </w:rPr>
        <w:tab/>
        <w:t>Res</w:t>
      </w:r>
      <w:r w:rsidR="00112484">
        <w:rPr>
          <w:rFonts w:ascii="Arial" w:hAnsi="Arial" w:cs="Arial"/>
          <w:lang w:val="en-US"/>
        </w:rPr>
        <w:t>ources</w:t>
      </w:r>
      <w:r w:rsidRPr="003831BD">
        <w:rPr>
          <w:rFonts w:ascii="Arial" w:hAnsi="Arial" w:cs="Arial"/>
          <w:lang w:val="en-US"/>
        </w:rPr>
        <w:t xml:space="preserve"> and Performance Committee</w:t>
      </w:r>
    </w:p>
    <w:p w14:paraId="513376A0" w14:textId="77777777" w:rsidR="007223B3" w:rsidRPr="003831BD" w:rsidRDefault="007223B3" w:rsidP="007223B3">
      <w:pPr>
        <w:spacing w:after="0"/>
        <w:rPr>
          <w:rFonts w:ascii="Arial" w:hAnsi="Arial" w:cs="Arial"/>
          <w:lang w:val="en-US"/>
        </w:rPr>
      </w:pPr>
      <w:r w:rsidRPr="003831BD">
        <w:rPr>
          <w:rFonts w:ascii="Arial" w:hAnsi="Arial" w:cs="Arial"/>
          <w:b/>
          <w:bCs/>
          <w:lang w:val="en-US"/>
        </w:rPr>
        <w:t>Date of Approval:</w:t>
      </w:r>
      <w:r w:rsidRPr="003831BD">
        <w:rPr>
          <w:rFonts w:ascii="Arial" w:hAnsi="Arial" w:cs="Arial"/>
          <w:lang w:val="en-US"/>
        </w:rPr>
        <w:tab/>
      </w:r>
      <w:r>
        <w:rPr>
          <w:rFonts w:ascii="Arial" w:hAnsi="Arial" w:cs="Arial"/>
          <w:lang w:val="en-US"/>
        </w:rPr>
        <w:tab/>
        <w:t>February</w:t>
      </w:r>
      <w:r w:rsidRPr="003831BD">
        <w:rPr>
          <w:rFonts w:ascii="Arial" w:hAnsi="Arial" w:cs="Arial"/>
          <w:lang w:val="en-US"/>
        </w:rPr>
        <w:t xml:space="preserve"> 2021</w:t>
      </w:r>
    </w:p>
    <w:p w14:paraId="3E5AB69C" w14:textId="605A88BA" w:rsidR="007223B3" w:rsidRPr="003831BD" w:rsidRDefault="007223B3" w:rsidP="007223B3">
      <w:pPr>
        <w:spacing w:after="0"/>
        <w:rPr>
          <w:rFonts w:ascii="Arial" w:hAnsi="Arial" w:cs="Arial"/>
          <w:lang w:val="en-US"/>
        </w:rPr>
      </w:pPr>
      <w:r w:rsidRPr="003831BD">
        <w:rPr>
          <w:rFonts w:ascii="Arial" w:hAnsi="Arial" w:cs="Arial"/>
          <w:b/>
          <w:bCs/>
          <w:lang w:val="en-US"/>
        </w:rPr>
        <w:t>Policy Owner:</w:t>
      </w:r>
      <w:r w:rsidRPr="003831BD">
        <w:rPr>
          <w:rFonts w:ascii="Arial" w:hAnsi="Arial" w:cs="Arial"/>
          <w:lang w:val="en-US"/>
        </w:rPr>
        <w:tab/>
      </w:r>
      <w:r w:rsidRPr="003831BD">
        <w:rPr>
          <w:rFonts w:ascii="Arial" w:hAnsi="Arial" w:cs="Arial"/>
          <w:lang w:val="en-US"/>
        </w:rPr>
        <w:tab/>
      </w:r>
      <w:r>
        <w:rPr>
          <w:rFonts w:ascii="Arial" w:hAnsi="Arial" w:cs="Arial"/>
          <w:lang w:val="en-US"/>
        </w:rPr>
        <w:tab/>
      </w:r>
      <w:r w:rsidRPr="003831BD">
        <w:rPr>
          <w:rFonts w:ascii="Arial" w:hAnsi="Arial" w:cs="Arial"/>
          <w:lang w:val="en-US"/>
        </w:rPr>
        <w:t>Fi</w:t>
      </w:r>
      <w:r>
        <w:rPr>
          <w:rFonts w:ascii="Arial" w:hAnsi="Arial" w:cs="Arial"/>
          <w:lang w:val="en-US"/>
        </w:rPr>
        <w:t>nance and Compliance</w:t>
      </w:r>
    </w:p>
    <w:p w14:paraId="391C5A63" w14:textId="77777777" w:rsidR="007223B3" w:rsidRPr="003831BD" w:rsidRDefault="007223B3" w:rsidP="007223B3">
      <w:pPr>
        <w:spacing w:after="0"/>
        <w:rPr>
          <w:rFonts w:ascii="Arial" w:hAnsi="Arial" w:cs="Arial"/>
          <w:lang w:val="en-US"/>
        </w:rPr>
      </w:pPr>
      <w:r w:rsidRPr="003831BD">
        <w:rPr>
          <w:rFonts w:ascii="Arial" w:hAnsi="Arial" w:cs="Arial"/>
          <w:b/>
          <w:bCs/>
          <w:lang w:val="en-US"/>
        </w:rPr>
        <w:t>Last Review Date:</w:t>
      </w:r>
      <w:r w:rsidRPr="003831BD">
        <w:rPr>
          <w:rFonts w:ascii="Arial" w:hAnsi="Arial" w:cs="Arial"/>
          <w:lang w:val="en-US"/>
        </w:rPr>
        <w:tab/>
      </w:r>
      <w:r w:rsidRPr="003831BD">
        <w:rPr>
          <w:rFonts w:ascii="Arial" w:hAnsi="Arial" w:cs="Arial"/>
          <w:lang w:val="en-US"/>
        </w:rPr>
        <w:tab/>
      </w:r>
      <w:r>
        <w:rPr>
          <w:rFonts w:ascii="Arial" w:hAnsi="Arial" w:cs="Arial"/>
          <w:lang w:val="en-US"/>
        </w:rPr>
        <w:t>February</w:t>
      </w:r>
      <w:r w:rsidRPr="003831BD">
        <w:rPr>
          <w:rFonts w:ascii="Arial" w:hAnsi="Arial" w:cs="Arial"/>
          <w:lang w:val="en-US"/>
        </w:rPr>
        <w:t xml:space="preserve"> 2021</w:t>
      </w:r>
    </w:p>
    <w:p w14:paraId="0FC44808" w14:textId="295B6379" w:rsidR="007223B3" w:rsidRPr="003831BD" w:rsidRDefault="007223B3" w:rsidP="007223B3">
      <w:pPr>
        <w:spacing w:after="0"/>
        <w:rPr>
          <w:rFonts w:ascii="Arial" w:hAnsi="Arial" w:cs="Arial"/>
          <w:lang w:val="en-US"/>
        </w:rPr>
      </w:pPr>
      <w:r w:rsidRPr="003831BD">
        <w:rPr>
          <w:rFonts w:ascii="Arial" w:hAnsi="Arial" w:cs="Arial"/>
          <w:b/>
          <w:bCs/>
          <w:lang w:val="en-US"/>
        </w:rPr>
        <w:t>Next Review Date:</w:t>
      </w:r>
      <w:r w:rsidRPr="003831BD">
        <w:rPr>
          <w:rFonts w:ascii="Arial" w:hAnsi="Arial" w:cs="Arial"/>
          <w:lang w:val="en-US"/>
        </w:rPr>
        <w:tab/>
      </w:r>
      <w:r w:rsidRPr="003831BD">
        <w:rPr>
          <w:rFonts w:ascii="Arial" w:hAnsi="Arial" w:cs="Arial"/>
          <w:lang w:val="en-US"/>
        </w:rPr>
        <w:tab/>
      </w:r>
      <w:r w:rsidR="002137BD">
        <w:rPr>
          <w:rFonts w:ascii="Arial" w:hAnsi="Arial" w:cs="Arial"/>
          <w:lang w:val="en-US"/>
        </w:rPr>
        <w:t>June</w:t>
      </w:r>
      <w:r w:rsidRPr="003831BD">
        <w:rPr>
          <w:rFonts w:ascii="Arial" w:hAnsi="Arial" w:cs="Arial"/>
          <w:lang w:val="en-US"/>
        </w:rPr>
        <w:t xml:space="preserve"> 2022</w:t>
      </w:r>
    </w:p>
    <w:p w14:paraId="780C19FE" w14:textId="77777777" w:rsidR="007223B3" w:rsidRDefault="007223B3" w:rsidP="007223B3">
      <w:pPr>
        <w:tabs>
          <w:tab w:val="left" w:pos="709"/>
        </w:tabs>
        <w:ind w:left="426"/>
        <w:jc w:val="center"/>
        <w:rPr>
          <w:rFonts w:eastAsia="Times New Roman"/>
          <w:b/>
          <w:bCs/>
          <w:sz w:val="24"/>
          <w:szCs w:val="24"/>
          <w:u w:val="single"/>
        </w:rPr>
      </w:pPr>
    </w:p>
    <w:p w14:paraId="1BE79C75" w14:textId="77777777" w:rsidR="007223B3" w:rsidRDefault="007223B3" w:rsidP="007223B3">
      <w:pPr>
        <w:pStyle w:val="Heading2"/>
        <w:numPr>
          <w:ilvl w:val="0"/>
          <w:numId w:val="0"/>
        </w:numPr>
        <w:ind w:left="360"/>
      </w:pPr>
    </w:p>
    <w:p w14:paraId="3E73A8A8" w14:textId="77777777" w:rsidR="007223B3" w:rsidRDefault="007223B3">
      <w:pPr>
        <w:widowControl/>
        <w:rPr>
          <w:rFonts w:eastAsiaTheme="majorEastAsia" w:cstheme="minorHAnsi"/>
          <w:b/>
          <w:bCs/>
          <w:color w:val="4F81BD" w:themeColor="accent1"/>
          <w:sz w:val="22"/>
        </w:rPr>
      </w:pPr>
      <w:r>
        <w:br w:type="page"/>
      </w:r>
    </w:p>
    <w:p w14:paraId="74A7F861" w14:textId="1F69F1F3" w:rsidR="0000215C" w:rsidRPr="0023566D" w:rsidRDefault="0000215C" w:rsidP="007223B3">
      <w:pPr>
        <w:pStyle w:val="Heading2"/>
        <w:numPr>
          <w:ilvl w:val="0"/>
          <w:numId w:val="33"/>
        </w:numPr>
      </w:pPr>
      <w:r>
        <w:lastRenderedPageBreak/>
        <w:t>Section 1</w:t>
      </w:r>
      <w:r w:rsidR="00E353D1">
        <w:t>5</w:t>
      </w:r>
      <w:r>
        <w:t xml:space="preserve">: Capital Projects and </w:t>
      </w:r>
      <w:r w:rsidRPr="0023566D">
        <w:t>Fixed Assets</w:t>
      </w:r>
      <w:bookmarkEnd w:id="0"/>
      <w:bookmarkEnd w:id="1"/>
      <w:r>
        <w:t xml:space="preserve"> </w:t>
      </w:r>
    </w:p>
    <w:p w14:paraId="3E2087E7" w14:textId="59003515" w:rsidR="002D2832" w:rsidRDefault="0000215C" w:rsidP="00445CC2">
      <w:pPr>
        <w:pStyle w:val="Heading3"/>
        <w:numPr>
          <w:ilvl w:val="1"/>
          <w:numId w:val="31"/>
        </w:numPr>
      </w:pPr>
      <w:r w:rsidRPr="0023566D">
        <w:t>Definitions</w:t>
      </w:r>
    </w:p>
    <w:p w14:paraId="78014257" w14:textId="77777777" w:rsidR="004B4981" w:rsidRPr="004B4981" w:rsidRDefault="004B4981" w:rsidP="004B4981"/>
    <w:p w14:paraId="2A2F57AA" w14:textId="77777777" w:rsidR="0000215C" w:rsidRPr="0023566D" w:rsidRDefault="0000215C" w:rsidP="005A2AFE">
      <w:pPr>
        <w:pStyle w:val="Gogglelist"/>
        <w:numPr>
          <w:ilvl w:val="0"/>
          <w:numId w:val="11"/>
        </w:numPr>
      </w:pPr>
      <w:r w:rsidRPr="0023566D">
        <w:rPr>
          <w:b/>
        </w:rPr>
        <w:t>Fixed asset</w:t>
      </w:r>
      <w:r w:rsidRPr="0023566D">
        <w:t xml:space="preserve"> - An asset that is not consumed or sold during the normal course of business, such as land, buildings, equipment, machinery, vehicles. Any asset expected to last, or be in use for, more than one year is considered a fixed asset and has a cost over £10,000.  </w:t>
      </w:r>
    </w:p>
    <w:p w14:paraId="7542E168" w14:textId="77777777" w:rsidR="0000215C" w:rsidRPr="0023566D" w:rsidRDefault="0000215C" w:rsidP="005A2AFE">
      <w:pPr>
        <w:pStyle w:val="Gogglelist"/>
        <w:numPr>
          <w:ilvl w:val="0"/>
          <w:numId w:val="11"/>
        </w:numPr>
      </w:pPr>
      <w:r w:rsidRPr="0023566D">
        <w:rPr>
          <w:b/>
        </w:rPr>
        <w:t>Tangible fixed asset</w:t>
      </w:r>
      <w:r w:rsidRPr="0023566D">
        <w:t xml:space="preserve"> - A tangible fixed asset has physical substance (with the exception of capitalised software) and:  </w:t>
      </w:r>
    </w:p>
    <w:p w14:paraId="21CE4C04" w14:textId="77777777" w:rsidR="0000215C" w:rsidRPr="0023566D" w:rsidRDefault="0000215C" w:rsidP="005A2AFE">
      <w:pPr>
        <w:pStyle w:val="Gogglelist"/>
        <w:numPr>
          <w:ilvl w:val="1"/>
          <w:numId w:val="2"/>
        </w:numPr>
      </w:pPr>
      <w:r w:rsidRPr="0023566D">
        <w:t xml:space="preserve">is held by the University for use in the production or supply of goods and services, for rental to others, or for administrative </w:t>
      </w:r>
      <w:proofErr w:type="gramStart"/>
      <w:r w:rsidRPr="0023566D">
        <w:t>purposes;</w:t>
      </w:r>
      <w:proofErr w:type="gramEnd"/>
      <w:r w:rsidRPr="0023566D">
        <w:t xml:space="preserve"> </w:t>
      </w:r>
    </w:p>
    <w:p w14:paraId="02470B66" w14:textId="77777777" w:rsidR="0000215C" w:rsidRPr="0023566D" w:rsidRDefault="0000215C" w:rsidP="005A2AFE">
      <w:pPr>
        <w:pStyle w:val="Gogglelist"/>
        <w:numPr>
          <w:ilvl w:val="1"/>
          <w:numId w:val="2"/>
        </w:numPr>
      </w:pPr>
      <w:r w:rsidRPr="0023566D">
        <w:t xml:space="preserve">is controlled by the University through custody or legal rights; has been acquired or constructed with the intention of being used on a continuing basis; and  </w:t>
      </w:r>
    </w:p>
    <w:p w14:paraId="7A8D08A4" w14:textId="77777777" w:rsidR="0000215C" w:rsidRPr="0023566D" w:rsidRDefault="0000215C" w:rsidP="005A2AFE">
      <w:pPr>
        <w:pStyle w:val="Gogglelist"/>
        <w:numPr>
          <w:ilvl w:val="1"/>
          <w:numId w:val="2"/>
        </w:numPr>
      </w:pPr>
      <w:r w:rsidRPr="0023566D">
        <w:t>is not intended for sale in the ordinary course of business.</w:t>
      </w:r>
    </w:p>
    <w:p w14:paraId="0F916B74" w14:textId="77777777" w:rsidR="0000215C" w:rsidRPr="0023566D" w:rsidRDefault="0000215C" w:rsidP="005A2AFE">
      <w:pPr>
        <w:pStyle w:val="Gogglelist"/>
        <w:numPr>
          <w:ilvl w:val="0"/>
          <w:numId w:val="12"/>
        </w:numPr>
      </w:pPr>
      <w:r w:rsidRPr="0023566D">
        <w:rPr>
          <w:b/>
        </w:rPr>
        <w:t xml:space="preserve">Investment assets - </w:t>
      </w:r>
      <w:r w:rsidRPr="0023566D">
        <w:t>An asset that has been acquired or is being held by the University so that it generates economic benefits in the form of surpluses or appreciation in the market value.</w:t>
      </w:r>
    </w:p>
    <w:p w14:paraId="58D3EC86" w14:textId="77777777" w:rsidR="0000215C" w:rsidRPr="0023566D" w:rsidRDefault="0000215C" w:rsidP="005A2AFE">
      <w:pPr>
        <w:pStyle w:val="Gogglelist"/>
        <w:numPr>
          <w:ilvl w:val="0"/>
          <w:numId w:val="12"/>
        </w:numPr>
      </w:pPr>
      <w:r w:rsidRPr="0023566D">
        <w:rPr>
          <w:b/>
        </w:rPr>
        <w:t>Capital expenditure</w:t>
      </w:r>
      <w:r w:rsidRPr="0023566D">
        <w:t xml:space="preserve"> - The cost of acquiring, producing or enhancing fixed assets.</w:t>
      </w:r>
    </w:p>
    <w:p w14:paraId="5525B109" w14:textId="77777777" w:rsidR="0000215C" w:rsidRPr="0023566D" w:rsidRDefault="0000215C" w:rsidP="005A2AFE">
      <w:pPr>
        <w:pStyle w:val="Gogglelist"/>
        <w:numPr>
          <w:ilvl w:val="0"/>
          <w:numId w:val="12"/>
        </w:numPr>
      </w:pPr>
      <w:r w:rsidRPr="0023566D">
        <w:rPr>
          <w:b/>
        </w:rPr>
        <w:t>Capital expenditure budget</w:t>
      </w:r>
      <w:r w:rsidRPr="0023566D">
        <w:t xml:space="preserve"> - Section of the University’s annual budget that relates to expected capital expenditure.</w:t>
      </w:r>
    </w:p>
    <w:p w14:paraId="220596BD" w14:textId="495A3922" w:rsidR="0000215C" w:rsidRDefault="0000215C" w:rsidP="00445CC2">
      <w:pPr>
        <w:pStyle w:val="Heading3"/>
        <w:rPr>
          <w:rStyle w:val="Strong"/>
          <w:b/>
          <w:bCs/>
        </w:rPr>
      </w:pPr>
      <w:r w:rsidRPr="005C6AD9">
        <w:rPr>
          <w:rStyle w:val="Strong"/>
          <w:b/>
          <w:bCs/>
        </w:rPr>
        <w:t>General Rules for Capital Expenditure Projects</w:t>
      </w:r>
    </w:p>
    <w:p w14:paraId="254EBBDF" w14:textId="588A30C7" w:rsidR="001B6235" w:rsidRDefault="001B6235" w:rsidP="00D62283">
      <w:pPr>
        <w:spacing w:after="0"/>
      </w:pPr>
    </w:p>
    <w:p w14:paraId="487E292B" w14:textId="526F0F72" w:rsidR="001B6235" w:rsidRDefault="001B6235" w:rsidP="00367168">
      <w:pPr>
        <w:pStyle w:val="Paragraph"/>
        <w:ind w:left="0" w:firstLine="716"/>
      </w:pPr>
      <w:r>
        <w:t>1</w:t>
      </w:r>
      <w:r w:rsidR="00D2756F">
        <w:t>5</w:t>
      </w:r>
      <w:r>
        <w:t>.2.1</w:t>
      </w:r>
      <w:r w:rsidR="00B46B6F">
        <w:t>.</w:t>
      </w:r>
      <w:r>
        <w:tab/>
      </w:r>
      <w:r w:rsidR="00142FF3">
        <w:t>Capital expenditure must be budgeted</w:t>
      </w:r>
    </w:p>
    <w:p w14:paraId="1658C999" w14:textId="6C947B20" w:rsidR="00FC3561" w:rsidRDefault="00FC3561" w:rsidP="00367168">
      <w:pPr>
        <w:pStyle w:val="Paragraph"/>
        <w:ind w:left="1440"/>
      </w:pPr>
      <w:r>
        <w:t xml:space="preserve">All items of capital expenditure must be included in the annual budget and </w:t>
      </w:r>
      <w:proofErr w:type="gramStart"/>
      <w:r>
        <w:t>five year</w:t>
      </w:r>
      <w:proofErr w:type="gramEnd"/>
      <w:r>
        <w:t xml:space="preserve"> plan.  Only in </w:t>
      </w:r>
      <w:r w:rsidR="00D62283">
        <w:t>exceptional circumstances, through approvals defined in the Authority Matrix, will capital expenditure be approved when not previously included in the annual budget.</w:t>
      </w:r>
    </w:p>
    <w:p w14:paraId="4627F355" w14:textId="77777777" w:rsidR="001C5B6D" w:rsidRDefault="001C5B6D" w:rsidP="001C5B6D">
      <w:pPr>
        <w:spacing w:after="0"/>
      </w:pPr>
    </w:p>
    <w:p w14:paraId="53BAC489" w14:textId="50CCD13B" w:rsidR="0053351D" w:rsidRDefault="001C5B6D" w:rsidP="00B54E43">
      <w:pPr>
        <w:pStyle w:val="Paragraph"/>
        <w:ind w:left="1440" w:hanging="731"/>
      </w:pPr>
      <w:r>
        <w:t>1</w:t>
      </w:r>
      <w:r w:rsidR="00D2756F">
        <w:t>5</w:t>
      </w:r>
      <w:r>
        <w:t>.2.</w:t>
      </w:r>
      <w:r w:rsidR="00710E61">
        <w:t>2</w:t>
      </w:r>
      <w:r w:rsidR="00B46B6F">
        <w:t>.</w:t>
      </w:r>
      <w:r>
        <w:tab/>
      </w:r>
      <w:r w:rsidR="0053351D">
        <w:t>Capital expenditure must be approved</w:t>
      </w:r>
    </w:p>
    <w:p w14:paraId="2629B0B7" w14:textId="7D4D0E1C" w:rsidR="00710E61" w:rsidRDefault="00710E61" w:rsidP="0053351D">
      <w:pPr>
        <w:pStyle w:val="Paragraph"/>
        <w:ind w:left="1440"/>
      </w:pPr>
      <w:r w:rsidRPr="0023566D">
        <w:t>The policy on capital expenditure approvals includes a sliding scale which details the person/body who should approve individual capital expenditure projects.</w:t>
      </w:r>
      <w:r>
        <w:t xml:space="preserve"> Even if approved through the capital budget final ratification will be required based on the Authority Matrix before proceeding.</w:t>
      </w:r>
    </w:p>
    <w:p w14:paraId="724D1D44" w14:textId="77777777" w:rsidR="00367168" w:rsidRPr="0023566D" w:rsidRDefault="00367168" w:rsidP="0053351D">
      <w:pPr>
        <w:pStyle w:val="Paragraph"/>
        <w:ind w:left="1440"/>
      </w:pPr>
    </w:p>
    <w:p w14:paraId="215CE36E" w14:textId="40673496" w:rsidR="001C5B6D" w:rsidRDefault="00367168" w:rsidP="00710E61">
      <w:pPr>
        <w:spacing w:after="0"/>
        <w:ind w:left="709"/>
      </w:pPr>
      <w:r>
        <w:t>1</w:t>
      </w:r>
      <w:r w:rsidR="00D2756F">
        <w:t>5</w:t>
      </w:r>
      <w:r>
        <w:t>.2.3</w:t>
      </w:r>
      <w:r w:rsidR="00B46B6F">
        <w:t>.</w:t>
      </w:r>
      <w:r w:rsidR="004E27BE">
        <w:tab/>
      </w:r>
      <w:r w:rsidR="005B6D4E">
        <w:t>A business case must be completed for all capital expenditure</w:t>
      </w:r>
      <w:r w:rsidR="00613713">
        <w:t xml:space="preserve"> </w:t>
      </w:r>
    </w:p>
    <w:p w14:paraId="331DEE44" w14:textId="30B11181" w:rsidR="00D843BB" w:rsidRDefault="00D843BB" w:rsidP="00D843BB">
      <w:pPr>
        <w:pStyle w:val="Paragraph"/>
        <w:ind w:left="1439"/>
      </w:pPr>
      <w:r>
        <w:t>The type of business case required for</w:t>
      </w:r>
      <w:r w:rsidRPr="0023566D">
        <w:t xml:space="preserve"> each type of capital expenditure </w:t>
      </w:r>
      <w:proofErr w:type="gramStart"/>
      <w:r w:rsidRPr="0023566D">
        <w:t>e.g.</w:t>
      </w:r>
      <w:proofErr w:type="gramEnd"/>
      <w:r w:rsidRPr="0023566D">
        <w:t xml:space="preserve"> outline proposal, simple business case or full business case varies depending on the value of the spend.</w:t>
      </w:r>
      <w:r>
        <w:t xml:space="preserve"> A Capital Approval Form should be completed for all capital expenditure along with a full business </w:t>
      </w:r>
      <w:proofErr w:type="gramStart"/>
      <w:r>
        <w:t>case</w:t>
      </w:r>
      <w:r w:rsidRPr="0023566D">
        <w:t xml:space="preserve"> </w:t>
      </w:r>
      <w:r>
        <w:t xml:space="preserve"> for</w:t>
      </w:r>
      <w:proofErr w:type="gramEnd"/>
      <w:r>
        <w:t xml:space="preserve"> expenditure over £1m</w:t>
      </w:r>
      <w:r w:rsidRPr="0023566D">
        <w:t xml:space="preserve">. </w:t>
      </w:r>
    </w:p>
    <w:p w14:paraId="12E3A2EF" w14:textId="77777777" w:rsidR="00D843BB" w:rsidRDefault="00D843BB" w:rsidP="00D843BB">
      <w:pPr>
        <w:pStyle w:val="Paragraph"/>
        <w:ind w:left="1439"/>
      </w:pPr>
    </w:p>
    <w:p w14:paraId="1B690EAC" w14:textId="414943C7" w:rsidR="00D843BB" w:rsidRDefault="00D843BB" w:rsidP="00710E61">
      <w:pPr>
        <w:spacing w:after="0"/>
        <w:ind w:left="709"/>
      </w:pPr>
      <w:r>
        <w:t>1</w:t>
      </w:r>
      <w:r w:rsidR="00D2756F">
        <w:t>5</w:t>
      </w:r>
      <w:r>
        <w:t>.2.4</w:t>
      </w:r>
      <w:r w:rsidR="00B46B6F">
        <w:t>.</w:t>
      </w:r>
      <w:r>
        <w:tab/>
      </w:r>
      <w:r w:rsidR="00A97F96">
        <w:t>Supporting Documents</w:t>
      </w:r>
      <w:r>
        <w:tab/>
      </w:r>
    </w:p>
    <w:p w14:paraId="28DAC712" w14:textId="2B80802A" w:rsidR="00A97F96" w:rsidRDefault="00A97F96" w:rsidP="00721953">
      <w:pPr>
        <w:pStyle w:val="Paragraph"/>
        <w:ind w:left="1440"/>
      </w:pPr>
      <w:r>
        <w:t>All Capital Approval Forms and / or Business Cases must be reviewed by the relevant Management or Project Accountant before being sent for approval</w:t>
      </w:r>
      <w:r w:rsidRPr="0023566D">
        <w:t xml:space="preserve">. </w:t>
      </w:r>
    </w:p>
    <w:p w14:paraId="7BC18ADE" w14:textId="4AF96F05" w:rsidR="006B0E2B" w:rsidRDefault="006B0E2B" w:rsidP="00721953">
      <w:pPr>
        <w:pStyle w:val="Paragraph"/>
        <w:ind w:left="1440"/>
      </w:pPr>
    </w:p>
    <w:p w14:paraId="30D7045F" w14:textId="269DEF70" w:rsidR="006B0E2B" w:rsidRDefault="006B0E2B" w:rsidP="00AF6313">
      <w:pPr>
        <w:spacing w:after="0"/>
        <w:ind w:left="709"/>
        <w:jc w:val="both"/>
      </w:pPr>
      <w:r>
        <w:t>1</w:t>
      </w:r>
      <w:r w:rsidR="00D2756F">
        <w:t>5</w:t>
      </w:r>
      <w:r>
        <w:t>.2.5</w:t>
      </w:r>
      <w:r w:rsidR="00B46B6F">
        <w:t>.</w:t>
      </w:r>
      <w:r>
        <w:tab/>
        <w:t>The University Estates Department must be involved in all Faculty building projects</w:t>
      </w:r>
      <w:r>
        <w:tab/>
      </w:r>
    </w:p>
    <w:p w14:paraId="464FF035" w14:textId="611D7B9B" w:rsidR="00AF6313" w:rsidRDefault="006B0E2B" w:rsidP="00AF6313">
      <w:pPr>
        <w:pStyle w:val="Paragraph"/>
        <w:ind w:left="1440"/>
      </w:pPr>
      <w:r>
        <w:t xml:space="preserve">The </w:t>
      </w:r>
      <w:r w:rsidR="00AF6313">
        <w:t xml:space="preserve">University </w:t>
      </w:r>
      <w:r w:rsidR="00AF6313" w:rsidRPr="0023566D">
        <w:t>Estates Department must be involved from the planning stage of all building projects (including additions, enhancements and alterations). They will provide input with regards cost, timings, etc.</w:t>
      </w:r>
    </w:p>
    <w:p w14:paraId="431BDC19" w14:textId="1ED78F6A" w:rsidR="00D935BE" w:rsidRDefault="00D935BE" w:rsidP="00AF6313">
      <w:pPr>
        <w:pStyle w:val="Paragraph"/>
        <w:ind w:left="1440"/>
      </w:pPr>
    </w:p>
    <w:p w14:paraId="3C7B1099" w14:textId="13D276D8" w:rsidR="00D935BE" w:rsidRDefault="00D935BE" w:rsidP="00D935BE">
      <w:pPr>
        <w:spacing w:after="0"/>
        <w:ind w:left="709"/>
        <w:jc w:val="both"/>
      </w:pPr>
      <w:r>
        <w:t>1</w:t>
      </w:r>
      <w:r w:rsidR="00D2756F">
        <w:t>5</w:t>
      </w:r>
      <w:r>
        <w:t>.2.</w:t>
      </w:r>
      <w:r w:rsidR="00B46B6F">
        <w:t>6.</w:t>
      </w:r>
      <w:r>
        <w:tab/>
        <w:t>The</w:t>
      </w:r>
      <w:r w:rsidR="00BB67D5">
        <w:t xml:space="preserve"> Health and Safety Department</w:t>
      </w:r>
    </w:p>
    <w:p w14:paraId="57612406" w14:textId="77777777" w:rsidR="00BB67D5" w:rsidRDefault="00BB67D5" w:rsidP="00BB67D5">
      <w:pPr>
        <w:pStyle w:val="Paragraph"/>
        <w:ind w:left="1440"/>
      </w:pPr>
      <w:r w:rsidRPr="0023566D">
        <w:t>The University Estates Department must be involved from the planning stage of all building projects (including additions, enhancements and alterations). They will provide input with regards cost, timings, etc.</w:t>
      </w:r>
    </w:p>
    <w:p w14:paraId="153933FC" w14:textId="77777777" w:rsidR="0000215C" w:rsidRDefault="0000215C" w:rsidP="0000215C">
      <w:pPr>
        <w:widowControl/>
      </w:pPr>
    </w:p>
    <w:p w14:paraId="362BDBA2" w14:textId="57C0AB05" w:rsidR="003048A0" w:rsidRDefault="0000215C" w:rsidP="003048A0">
      <w:pPr>
        <w:pStyle w:val="Heading3"/>
      </w:pPr>
      <w:r w:rsidRPr="0023566D">
        <w:t>Capital Spend Authority Matrix</w:t>
      </w:r>
    </w:p>
    <w:p w14:paraId="156DBEF4" w14:textId="77777777" w:rsidR="0089768D" w:rsidRPr="0089768D" w:rsidRDefault="0089768D" w:rsidP="0089768D"/>
    <w:p w14:paraId="6AF0859C" w14:textId="77777777" w:rsidR="0000215C" w:rsidRPr="0023566D" w:rsidRDefault="0000215C" w:rsidP="0000215C">
      <w:r w:rsidRPr="0023566D">
        <w:t>The following table sets out the stages of expenditure approval.</w:t>
      </w:r>
    </w:p>
    <w:tbl>
      <w:tblPr>
        <w:tblStyle w:val="TableGrid"/>
        <w:tblW w:w="808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828"/>
      </w:tblGrid>
      <w:tr w:rsidR="0000215C" w:rsidRPr="0023566D" w14:paraId="59E38153" w14:textId="77777777" w:rsidTr="0000215C">
        <w:tc>
          <w:tcPr>
            <w:tcW w:w="4253" w:type="dxa"/>
            <w:tcBorders>
              <w:bottom w:val="single" w:sz="12" w:space="0" w:color="4F81BD" w:themeColor="accent1"/>
            </w:tcBorders>
            <w:shd w:val="clear" w:color="auto" w:fill="auto"/>
          </w:tcPr>
          <w:p w14:paraId="28429C26" w14:textId="77777777" w:rsidR="0000215C" w:rsidRPr="0023566D" w:rsidRDefault="0000215C" w:rsidP="0000215C">
            <w:pPr>
              <w:pStyle w:val="NoSpacing"/>
              <w:rPr>
                <w:lang w:val="en-GB"/>
              </w:rPr>
            </w:pPr>
          </w:p>
        </w:tc>
        <w:tc>
          <w:tcPr>
            <w:tcW w:w="3828" w:type="dxa"/>
            <w:tcBorders>
              <w:bottom w:val="single" w:sz="12" w:space="0" w:color="4F81BD" w:themeColor="accent1"/>
            </w:tcBorders>
            <w:shd w:val="clear" w:color="auto" w:fill="auto"/>
          </w:tcPr>
          <w:p w14:paraId="1E6D15A1" w14:textId="77777777" w:rsidR="0000215C" w:rsidRPr="0023566D" w:rsidRDefault="0000215C" w:rsidP="0000215C">
            <w:pPr>
              <w:pStyle w:val="NoSpacing"/>
              <w:rPr>
                <w:lang w:val="en-GB"/>
              </w:rPr>
            </w:pPr>
            <w:r w:rsidRPr="0023566D">
              <w:rPr>
                <w:lang w:val="en-GB"/>
              </w:rPr>
              <w:t>Approves</w:t>
            </w:r>
          </w:p>
        </w:tc>
      </w:tr>
      <w:tr w:rsidR="0000215C" w:rsidRPr="0023566D" w14:paraId="0F20FD3D" w14:textId="77777777" w:rsidTr="0000215C">
        <w:tc>
          <w:tcPr>
            <w:tcW w:w="4253" w:type="dxa"/>
            <w:tcBorders>
              <w:top w:val="single" w:sz="12" w:space="0" w:color="4F81BD" w:themeColor="accent1"/>
            </w:tcBorders>
          </w:tcPr>
          <w:p w14:paraId="07E54411" w14:textId="77777777" w:rsidR="0000215C" w:rsidRPr="0023566D" w:rsidRDefault="0000215C" w:rsidP="0000215C">
            <w:pPr>
              <w:pStyle w:val="NoSpacing"/>
              <w:rPr>
                <w:lang w:val="en-GB"/>
              </w:rPr>
            </w:pPr>
            <w:r w:rsidRPr="0023566D">
              <w:rPr>
                <w:lang w:val="en-GB"/>
              </w:rPr>
              <w:t xml:space="preserve">1) Approving the capital budget. </w:t>
            </w:r>
          </w:p>
        </w:tc>
        <w:tc>
          <w:tcPr>
            <w:tcW w:w="3828" w:type="dxa"/>
            <w:tcBorders>
              <w:top w:val="single" w:sz="12" w:space="0" w:color="4F81BD" w:themeColor="accent1"/>
            </w:tcBorders>
          </w:tcPr>
          <w:p w14:paraId="0170FDC5" w14:textId="77777777" w:rsidR="0000215C" w:rsidRPr="0023566D" w:rsidRDefault="0000215C" w:rsidP="0000215C">
            <w:pPr>
              <w:pStyle w:val="NoSpacing"/>
              <w:rPr>
                <w:lang w:val="en-GB"/>
              </w:rPr>
            </w:pPr>
            <w:r w:rsidRPr="0023566D">
              <w:rPr>
                <w:lang w:val="en-GB"/>
              </w:rPr>
              <w:t>AU Council</w:t>
            </w:r>
          </w:p>
          <w:p w14:paraId="66C42DE1" w14:textId="77777777" w:rsidR="0000215C" w:rsidRPr="0023566D" w:rsidRDefault="0000215C" w:rsidP="0000215C">
            <w:pPr>
              <w:pStyle w:val="NoSpacing"/>
              <w:rPr>
                <w:lang w:val="en-GB"/>
              </w:rPr>
            </w:pPr>
          </w:p>
        </w:tc>
      </w:tr>
      <w:tr w:rsidR="0000215C" w:rsidRPr="0023566D" w14:paraId="2025A74D" w14:textId="77777777" w:rsidTr="0000215C">
        <w:tc>
          <w:tcPr>
            <w:tcW w:w="4253" w:type="dxa"/>
          </w:tcPr>
          <w:p w14:paraId="7F9FCCB2" w14:textId="77777777" w:rsidR="0000215C" w:rsidRPr="0023566D" w:rsidRDefault="0000215C" w:rsidP="0000215C">
            <w:pPr>
              <w:pStyle w:val="NoSpacing"/>
              <w:rPr>
                <w:lang w:val="en-GB"/>
              </w:rPr>
            </w:pPr>
            <w:r w:rsidRPr="0023566D">
              <w:rPr>
                <w:lang w:val="en-GB"/>
              </w:rPr>
              <w:t>2) Pre-procurement approvals</w:t>
            </w:r>
          </w:p>
          <w:p w14:paraId="307CCA11" w14:textId="77777777" w:rsidR="0000215C" w:rsidRPr="0023566D" w:rsidRDefault="0000215C" w:rsidP="0000215C">
            <w:pPr>
              <w:pStyle w:val="NoSpacing"/>
              <w:rPr>
                <w:lang w:val="en-GB"/>
              </w:rPr>
            </w:pPr>
          </w:p>
        </w:tc>
        <w:tc>
          <w:tcPr>
            <w:tcW w:w="3828" w:type="dxa"/>
          </w:tcPr>
          <w:p w14:paraId="3E60BC54" w14:textId="77777777" w:rsidR="0000215C" w:rsidRPr="0023566D" w:rsidRDefault="0000215C" w:rsidP="0000215C">
            <w:pPr>
              <w:pStyle w:val="NoSpacing"/>
              <w:rPr>
                <w:lang w:val="en-GB"/>
              </w:rPr>
            </w:pPr>
            <w:r w:rsidRPr="0023566D">
              <w:rPr>
                <w:lang w:val="en-GB"/>
              </w:rPr>
              <w:t>Authority Matrix below</w:t>
            </w:r>
          </w:p>
        </w:tc>
      </w:tr>
      <w:tr w:rsidR="0000215C" w:rsidRPr="0023566D" w14:paraId="564DF866" w14:textId="77777777" w:rsidTr="0000215C">
        <w:tc>
          <w:tcPr>
            <w:tcW w:w="4253" w:type="dxa"/>
          </w:tcPr>
          <w:p w14:paraId="5F900512" w14:textId="77777777" w:rsidR="0000215C" w:rsidRPr="0023566D" w:rsidRDefault="0000215C" w:rsidP="0000215C">
            <w:pPr>
              <w:pStyle w:val="NoSpacing"/>
              <w:rPr>
                <w:lang w:val="en-GB"/>
              </w:rPr>
            </w:pPr>
            <w:r w:rsidRPr="0023566D">
              <w:rPr>
                <w:lang w:val="en-GB"/>
              </w:rPr>
              <w:t>3) Approving contract / purchase orders and contract signing</w:t>
            </w:r>
          </w:p>
        </w:tc>
        <w:tc>
          <w:tcPr>
            <w:tcW w:w="3828" w:type="dxa"/>
          </w:tcPr>
          <w:p w14:paraId="331F640C" w14:textId="77777777" w:rsidR="0000215C" w:rsidRPr="0023566D" w:rsidRDefault="0000215C" w:rsidP="0000215C">
            <w:pPr>
              <w:pStyle w:val="NoSpacing"/>
              <w:rPr>
                <w:lang w:val="en-GB"/>
              </w:rPr>
            </w:pPr>
            <w:r w:rsidRPr="0023566D">
              <w:rPr>
                <w:lang w:val="en-GB"/>
              </w:rPr>
              <w:t>Authority Matrix below</w:t>
            </w:r>
          </w:p>
        </w:tc>
      </w:tr>
      <w:tr w:rsidR="0000215C" w:rsidRPr="0023566D" w14:paraId="7E73E67A" w14:textId="77777777" w:rsidTr="0000215C">
        <w:tc>
          <w:tcPr>
            <w:tcW w:w="4253" w:type="dxa"/>
          </w:tcPr>
          <w:p w14:paraId="083F4B4F" w14:textId="77777777" w:rsidR="0000215C" w:rsidRPr="0023566D" w:rsidRDefault="0000215C" w:rsidP="0000215C">
            <w:pPr>
              <w:pStyle w:val="NoSpacing"/>
              <w:rPr>
                <w:lang w:val="en-GB"/>
              </w:rPr>
            </w:pPr>
            <w:r w:rsidRPr="0023566D">
              <w:rPr>
                <w:lang w:val="en-GB"/>
              </w:rPr>
              <w:t>4) Authorising invoices for payment</w:t>
            </w:r>
          </w:p>
          <w:p w14:paraId="7F38B88A" w14:textId="77777777" w:rsidR="0000215C" w:rsidRPr="0023566D" w:rsidRDefault="0000215C" w:rsidP="0000215C">
            <w:pPr>
              <w:pStyle w:val="NoSpacing"/>
              <w:rPr>
                <w:lang w:val="en-GB"/>
              </w:rPr>
            </w:pPr>
          </w:p>
        </w:tc>
        <w:tc>
          <w:tcPr>
            <w:tcW w:w="3828" w:type="dxa"/>
          </w:tcPr>
          <w:p w14:paraId="3E0C71BB" w14:textId="77777777" w:rsidR="0000215C" w:rsidRPr="0023566D" w:rsidRDefault="0000215C" w:rsidP="0000215C">
            <w:pPr>
              <w:pStyle w:val="NoSpacing"/>
              <w:rPr>
                <w:lang w:val="en-GB"/>
              </w:rPr>
            </w:pPr>
            <w:r w:rsidRPr="0023566D">
              <w:rPr>
                <w:lang w:val="en-GB"/>
              </w:rPr>
              <w:t>Senior Budget Manager</w:t>
            </w:r>
          </w:p>
        </w:tc>
      </w:tr>
    </w:tbl>
    <w:p w14:paraId="3F5DC477" w14:textId="77777777" w:rsidR="0000215C" w:rsidRDefault="0000215C" w:rsidP="0000215C"/>
    <w:tbl>
      <w:tblPr>
        <w:tblW w:w="9933" w:type="dxa"/>
        <w:tblInd w:w="-294" w:type="dxa"/>
        <w:tblCellMar>
          <w:left w:w="0" w:type="dxa"/>
          <w:right w:w="0" w:type="dxa"/>
        </w:tblCellMar>
        <w:tblLook w:val="04A0" w:firstRow="1" w:lastRow="0" w:firstColumn="1" w:lastColumn="0" w:noHBand="0" w:noVBand="1"/>
      </w:tblPr>
      <w:tblGrid>
        <w:gridCol w:w="1844"/>
        <w:gridCol w:w="3543"/>
        <w:gridCol w:w="2278"/>
        <w:gridCol w:w="2268"/>
      </w:tblGrid>
      <w:tr w:rsidR="0000215C" w:rsidRPr="0023566D" w14:paraId="073DD63E" w14:textId="77777777" w:rsidTr="0000215C">
        <w:tc>
          <w:tcPr>
            <w:tcW w:w="1844" w:type="dxa"/>
            <w:tcBorders>
              <w:bottom w:val="single" w:sz="12" w:space="0" w:color="4F81BD" w:themeColor="accent1"/>
            </w:tcBorders>
            <w:shd w:val="clear" w:color="auto" w:fill="auto"/>
            <w:tcMar>
              <w:top w:w="0" w:type="dxa"/>
              <w:left w:w="108" w:type="dxa"/>
              <w:bottom w:w="0" w:type="dxa"/>
              <w:right w:w="108" w:type="dxa"/>
            </w:tcMar>
            <w:hideMark/>
          </w:tcPr>
          <w:p w14:paraId="0B46E3AC" w14:textId="77777777" w:rsidR="0000215C" w:rsidRPr="0023566D" w:rsidRDefault="0000215C" w:rsidP="0000215C">
            <w:pPr>
              <w:pStyle w:val="NoSpacing"/>
              <w:rPr>
                <w:b/>
                <w:lang w:val="en-GB"/>
              </w:rPr>
            </w:pPr>
            <w:r w:rsidRPr="0023566D">
              <w:rPr>
                <w:b/>
                <w:lang w:val="en-GB"/>
              </w:rPr>
              <w:t>Contract Value</w:t>
            </w:r>
          </w:p>
        </w:tc>
        <w:tc>
          <w:tcPr>
            <w:tcW w:w="3543" w:type="dxa"/>
            <w:tcBorders>
              <w:bottom w:val="single" w:sz="12" w:space="0" w:color="4F81BD" w:themeColor="accent1"/>
            </w:tcBorders>
            <w:shd w:val="clear" w:color="auto" w:fill="auto"/>
            <w:tcMar>
              <w:top w:w="0" w:type="dxa"/>
              <w:left w:w="108" w:type="dxa"/>
              <w:bottom w:w="0" w:type="dxa"/>
              <w:right w:w="108" w:type="dxa"/>
            </w:tcMar>
            <w:hideMark/>
          </w:tcPr>
          <w:p w14:paraId="3998FA2D" w14:textId="77777777" w:rsidR="0000215C" w:rsidRPr="0023566D" w:rsidRDefault="0000215C" w:rsidP="0000215C">
            <w:pPr>
              <w:pStyle w:val="NoSpacing"/>
              <w:rPr>
                <w:b/>
                <w:lang w:val="en-GB"/>
              </w:rPr>
            </w:pPr>
            <w:r w:rsidRPr="0023566D">
              <w:rPr>
                <w:b/>
                <w:lang w:val="en-GB"/>
              </w:rPr>
              <w:t>Authorised Signatory</w:t>
            </w:r>
          </w:p>
          <w:p w14:paraId="3CC26F22" w14:textId="77777777" w:rsidR="0000215C" w:rsidRPr="0023566D" w:rsidRDefault="0000215C" w:rsidP="0000215C">
            <w:pPr>
              <w:pStyle w:val="NoSpacing"/>
              <w:rPr>
                <w:b/>
                <w:lang w:val="en-GB"/>
              </w:rPr>
            </w:pPr>
            <w:r w:rsidRPr="0023566D">
              <w:rPr>
                <w:b/>
                <w:lang w:val="en-GB"/>
              </w:rPr>
              <w:t>(Within Budget)</w:t>
            </w:r>
          </w:p>
        </w:tc>
        <w:tc>
          <w:tcPr>
            <w:tcW w:w="2278" w:type="dxa"/>
            <w:tcBorders>
              <w:bottom w:val="single" w:sz="12" w:space="0" w:color="4F81BD" w:themeColor="accent1"/>
            </w:tcBorders>
            <w:shd w:val="clear" w:color="auto" w:fill="auto"/>
          </w:tcPr>
          <w:p w14:paraId="0A2E3C94" w14:textId="77777777" w:rsidR="0000215C" w:rsidRPr="0023566D" w:rsidRDefault="0000215C" w:rsidP="0000215C">
            <w:pPr>
              <w:pStyle w:val="NoSpacing"/>
              <w:rPr>
                <w:b/>
                <w:lang w:val="en-GB"/>
              </w:rPr>
            </w:pPr>
            <w:r w:rsidRPr="0023566D">
              <w:rPr>
                <w:b/>
                <w:lang w:val="en-GB"/>
              </w:rPr>
              <w:t>Authorised Signatory</w:t>
            </w:r>
          </w:p>
          <w:p w14:paraId="2AD6A959" w14:textId="77777777" w:rsidR="0000215C" w:rsidRPr="0023566D" w:rsidRDefault="0000215C" w:rsidP="0000215C">
            <w:pPr>
              <w:pStyle w:val="NoSpacing"/>
              <w:rPr>
                <w:b/>
                <w:lang w:val="en-GB"/>
              </w:rPr>
            </w:pPr>
            <w:r w:rsidRPr="0023566D">
              <w:rPr>
                <w:b/>
                <w:lang w:val="en-GB"/>
              </w:rPr>
              <w:t>(Outside Budget)</w:t>
            </w:r>
          </w:p>
        </w:tc>
        <w:tc>
          <w:tcPr>
            <w:tcW w:w="2268" w:type="dxa"/>
            <w:tcBorders>
              <w:bottom w:val="single" w:sz="12" w:space="0" w:color="4F81BD" w:themeColor="accent1"/>
            </w:tcBorders>
            <w:shd w:val="clear" w:color="auto" w:fill="auto"/>
          </w:tcPr>
          <w:p w14:paraId="082B7BED" w14:textId="77777777" w:rsidR="0000215C" w:rsidRPr="0023566D" w:rsidRDefault="0000215C" w:rsidP="0000215C">
            <w:pPr>
              <w:pStyle w:val="NoSpacing"/>
              <w:rPr>
                <w:b/>
                <w:lang w:val="en-GB"/>
              </w:rPr>
            </w:pPr>
            <w:r w:rsidRPr="0023566D">
              <w:rPr>
                <w:b/>
                <w:lang w:val="en-GB"/>
              </w:rPr>
              <w:t>Supporting Documents</w:t>
            </w:r>
          </w:p>
        </w:tc>
      </w:tr>
      <w:tr w:rsidR="0000215C" w:rsidRPr="0023566D" w14:paraId="79D8DDC5" w14:textId="77777777" w:rsidTr="0000215C">
        <w:tc>
          <w:tcPr>
            <w:tcW w:w="1844" w:type="dxa"/>
            <w:tcBorders>
              <w:top w:val="single" w:sz="12" w:space="0" w:color="4F81BD" w:themeColor="accent1"/>
            </w:tcBorders>
            <w:shd w:val="clear" w:color="auto" w:fill="auto"/>
            <w:tcMar>
              <w:top w:w="0" w:type="dxa"/>
              <w:left w:w="108" w:type="dxa"/>
              <w:bottom w:w="0" w:type="dxa"/>
              <w:right w:w="108" w:type="dxa"/>
            </w:tcMar>
            <w:hideMark/>
          </w:tcPr>
          <w:p w14:paraId="6A50C344" w14:textId="77777777" w:rsidR="0000215C" w:rsidRPr="0023566D" w:rsidRDefault="0000215C" w:rsidP="0000215C">
            <w:pPr>
              <w:pStyle w:val="NoSpacing"/>
              <w:rPr>
                <w:lang w:val="en-GB"/>
              </w:rPr>
            </w:pPr>
            <w:r w:rsidRPr="0023566D">
              <w:rPr>
                <w:lang w:val="en-GB"/>
              </w:rPr>
              <w:t>&gt; £2.5m</w:t>
            </w:r>
          </w:p>
          <w:p w14:paraId="375FF121" w14:textId="77777777" w:rsidR="0000215C" w:rsidRPr="0023566D" w:rsidRDefault="0000215C" w:rsidP="0000215C">
            <w:pPr>
              <w:pStyle w:val="NoSpacing"/>
              <w:rPr>
                <w:lang w:val="en-GB"/>
              </w:rPr>
            </w:pPr>
          </w:p>
        </w:tc>
        <w:tc>
          <w:tcPr>
            <w:tcW w:w="3543" w:type="dxa"/>
            <w:tcBorders>
              <w:top w:val="single" w:sz="12" w:space="0" w:color="4F81BD" w:themeColor="accent1"/>
            </w:tcBorders>
            <w:shd w:val="clear" w:color="auto" w:fill="auto"/>
            <w:tcMar>
              <w:top w:w="0" w:type="dxa"/>
              <w:left w:w="108" w:type="dxa"/>
              <w:bottom w:w="0" w:type="dxa"/>
              <w:right w:w="108" w:type="dxa"/>
            </w:tcMar>
            <w:hideMark/>
          </w:tcPr>
          <w:p w14:paraId="76B24844" w14:textId="77777777" w:rsidR="0000215C" w:rsidRPr="0023566D" w:rsidRDefault="0000215C" w:rsidP="0000215C">
            <w:pPr>
              <w:pStyle w:val="NoSpacing"/>
              <w:rPr>
                <w:lang w:val="en-GB"/>
              </w:rPr>
            </w:pPr>
            <w:r w:rsidRPr="0023566D">
              <w:rPr>
                <w:lang w:val="en-GB"/>
              </w:rPr>
              <w:t>Chair of Aberystwyth University Council</w:t>
            </w:r>
          </w:p>
          <w:p w14:paraId="308B4B45" w14:textId="77777777" w:rsidR="0000215C" w:rsidRPr="0023566D" w:rsidRDefault="0000215C" w:rsidP="0000215C">
            <w:pPr>
              <w:pStyle w:val="NoSpacing"/>
              <w:rPr>
                <w:lang w:val="en-GB"/>
              </w:rPr>
            </w:pPr>
            <w:r w:rsidRPr="0023566D">
              <w:rPr>
                <w:lang w:val="en-GB"/>
              </w:rPr>
              <w:t>(</w:t>
            </w:r>
            <w:proofErr w:type="gramStart"/>
            <w:r w:rsidRPr="0023566D">
              <w:rPr>
                <w:lang w:val="en-GB"/>
              </w:rPr>
              <w:t>or</w:t>
            </w:r>
            <w:proofErr w:type="gramEnd"/>
            <w:r w:rsidRPr="0023566D">
              <w:rPr>
                <w:lang w:val="en-GB"/>
              </w:rPr>
              <w:t xml:space="preserve"> VC with </w:t>
            </w:r>
            <w:proofErr w:type="spellStart"/>
            <w:r w:rsidRPr="0023566D">
              <w:rPr>
                <w:lang w:val="en-GB"/>
              </w:rPr>
              <w:t>minuted</w:t>
            </w:r>
            <w:proofErr w:type="spellEnd"/>
            <w:r w:rsidRPr="0023566D">
              <w:rPr>
                <w:lang w:val="en-GB"/>
              </w:rPr>
              <w:t xml:space="preserve"> Council approval)</w:t>
            </w:r>
          </w:p>
        </w:tc>
        <w:tc>
          <w:tcPr>
            <w:tcW w:w="2278" w:type="dxa"/>
            <w:tcBorders>
              <w:top w:val="single" w:sz="12" w:space="0" w:color="4F81BD" w:themeColor="accent1"/>
            </w:tcBorders>
            <w:shd w:val="clear" w:color="auto" w:fill="auto"/>
          </w:tcPr>
          <w:p w14:paraId="6AD36590" w14:textId="77777777" w:rsidR="0000215C" w:rsidRPr="0023566D" w:rsidRDefault="0000215C" w:rsidP="0000215C">
            <w:pPr>
              <w:pStyle w:val="NoSpacing"/>
              <w:rPr>
                <w:lang w:val="en-GB"/>
              </w:rPr>
            </w:pPr>
            <w:r w:rsidRPr="0023566D">
              <w:rPr>
                <w:lang w:val="en-GB"/>
              </w:rPr>
              <w:t>Chair of Aberystwyth University Council</w:t>
            </w:r>
          </w:p>
          <w:p w14:paraId="4AEC3ACD" w14:textId="77777777" w:rsidR="0000215C" w:rsidRPr="0023566D" w:rsidRDefault="0000215C" w:rsidP="0000215C">
            <w:pPr>
              <w:pStyle w:val="NoSpacing"/>
              <w:rPr>
                <w:lang w:val="en-GB"/>
              </w:rPr>
            </w:pPr>
          </w:p>
        </w:tc>
        <w:tc>
          <w:tcPr>
            <w:tcW w:w="2268" w:type="dxa"/>
            <w:tcBorders>
              <w:top w:val="single" w:sz="12" w:space="0" w:color="4F81BD" w:themeColor="accent1"/>
            </w:tcBorders>
            <w:shd w:val="clear" w:color="auto" w:fill="auto"/>
          </w:tcPr>
          <w:p w14:paraId="63989D1E" w14:textId="77777777" w:rsidR="0000215C" w:rsidRDefault="0000215C" w:rsidP="0000215C">
            <w:pPr>
              <w:pStyle w:val="NoSpacing"/>
              <w:rPr>
                <w:lang w:val="en-GB"/>
              </w:rPr>
            </w:pPr>
            <w:r>
              <w:rPr>
                <w:lang w:val="en-GB"/>
              </w:rPr>
              <w:t>Capital Approval Form</w:t>
            </w:r>
          </w:p>
          <w:p w14:paraId="70D06F26" w14:textId="77777777" w:rsidR="0000215C" w:rsidRDefault="0000215C" w:rsidP="0000215C">
            <w:pPr>
              <w:pStyle w:val="NoSpacing"/>
              <w:rPr>
                <w:lang w:val="en-GB"/>
              </w:rPr>
            </w:pPr>
            <w:r>
              <w:rPr>
                <w:lang w:val="en-GB"/>
              </w:rPr>
              <w:t>Business Case</w:t>
            </w:r>
          </w:p>
          <w:p w14:paraId="0744EA30" w14:textId="77777777" w:rsidR="0000215C" w:rsidRPr="0023566D" w:rsidRDefault="0000215C" w:rsidP="0000215C">
            <w:pPr>
              <w:pStyle w:val="NoSpacing"/>
              <w:rPr>
                <w:lang w:val="en-GB"/>
              </w:rPr>
            </w:pPr>
          </w:p>
        </w:tc>
      </w:tr>
      <w:tr w:rsidR="0000215C" w:rsidRPr="0023566D" w14:paraId="2C5B78F8" w14:textId="77777777" w:rsidTr="0000215C">
        <w:tc>
          <w:tcPr>
            <w:tcW w:w="1844" w:type="dxa"/>
            <w:shd w:val="clear" w:color="auto" w:fill="auto"/>
            <w:tcMar>
              <w:top w:w="0" w:type="dxa"/>
              <w:left w:w="108" w:type="dxa"/>
              <w:bottom w:w="0" w:type="dxa"/>
              <w:right w:w="108" w:type="dxa"/>
            </w:tcMar>
            <w:hideMark/>
          </w:tcPr>
          <w:p w14:paraId="0FC0C076" w14:textId="77777777" w:rsidR="0000215C" w:rsidRPr="0023566D" w:rsidRDefault="0000215C" w:rsidP="0000215C">
            <w:pPr>
              <w:pStyle w:val="NoSpacing"/>
              <w:rPr>
                <w:lang w:val="en-GB"/>
              </w:rPr>
            </w:pPr>
            <w:r w:rsidRPr="0023566D">
              <w:rPr>
                <w:lang w:val="en-GB"/>
              </w:rPr>
              <w:t>£1m - £2.5m</w:t>
            </w:r>
          </w:p>
        </w:tc>
        <w:tc>
          <w:tcPr>
            <w:tcW w:w="3543" w:type="dxa"/>
            <w:shd w:val="clear" w:color="auto" w:fill="auto"/>
            <w:tcMar>
              <w:top w:w="0" w:type="dxa"/>
              <w:left w:w="108" w:type="dxa"/>
              <w:bottom w:w="0" w:type="dxa"/>
              <w:right w:w="108" w:type="dxa"/>
            </w:tcMar>
            <w:hideMark/>
          </w:tcPr>
          <w:p w14:paraId="70A425F0" w14:textId="77777777" w:rsidR="0000215C" w:rsidRPr="0023566D" w:rsidRDefault="0000215C" w:rsidP="0000215C">
            <w:pPr>
              <w:pStyle w:val="NoSpacing"/>
              <w:rPr>
                <w:lang w:val="en-GB"/>
              </w:rPr>
            </w:pPr>
            <w:r w:rsidRPr="0023566D">
              <w:rPr>
                <w:lang w:val="en-GB"/>
              </w:rPr>
              <w:t>Chair of Aberystwyth University FSC</w:t>
            </w:r>
          </w:p>
          <w:p w14:paraId="6450556E" w14:textId="77777777" w:rsidR="0000215C" w:rsidRPr="0023566D" w:rsidRDefault="0000215C" w:rsidP="0000215C">
            <w:pPr>
              <w:pStyle w:val="NoSpacing"/>
              <w:rPr>
                <w:lang w:val="en-GB"/>
              </w:rPr>
            </w:pPr>
            <w:r w:rsidRPr="0023566D">
              <w:rPr>
                <w:lang w:val="en-GB"/>
              </w:rPr>
              <w:t>(</w:t>
            </w:r>
            <w:proofErr w:type="gramStart"/>
            <w:r w:rsidRPr="0023566D">
              <w:rPr>
                <w:lang w:val="en-GB"/>
              </w:rPr>
              <w:t>or</w:t>
            </w:r>
            <w:proofErr w:type="gramEnd"/>
            <w:r w:rsidRPr="0023566D">
              <w:rPr>
                <w:lang w:val="en-GB"/>
              </w:rPr>
              <w:t xml:space="preserve"> VC with </w:t>
            </w:r>
            <w:proofErr w:type="spellStart"/>
            <w:r w:rsidRPr="0023566D">
              <w:rPr>
                <w:lang w:val="en-GB"/>
              </w:rPr>
              <w:t>minuted</w:t>
            </w:r>
            <w:proofErr w:type="spellEnd"/>
            <w:r w:rsidRPr="0023566D">
              <w:rPr>
                <w:lang w:val="en-GB"/>
              </w:rPr>
              <w:t xml:space="preserve"> FSC approval)</w:t>
            </w:r>
          </w:p>
        </w:tc>
        <w:tc>
          <w:tcPr>
            <w:tcW w:w="2278" w:type="dxa"/>
            <w:shd w:val="clear" w:color="auto" w:fill="auto"/>
          </w:tcPr>
          <w:p w14:paraId="78EA56DE" w14:textId="77777777" w:rsidR="0000215C" w:rsidRPr="0023566D" w:rsidRDefault="0000215C" w:rsidP="0000215C">
            <w:pPr>
              <w:pStyle w:val="NoSpacing"/>
              <w:rPr>
                <w:lang w:val="en-GB"/>
              </w:rPr>
            </w:pPr>
            <w:r w:rsidRPr="0023566D">
              <w:rPr>
                <w:lang w:val="en-GB"/>
              </w:rPr>
              <w:t>Chair of Aberystwyth University Council</w:t>
            </w:r>
          </w:p>
          <w:p w14:paraId="511370CB" w14:textId="77777777" w:rsidR="0000215C" w:rsidRPr="0023566D" w:rsidRDefault="0000215C" w:rsidP="0000215C">
            <w:pPr>
              <w:pStyle w:val="NoSpacing"/>
              <w:rPr>
                <w:lang w:val="en-GB"/>
              </w:rPr>
            </w:pPr>
          </w:p>
        </w:tc>
        <w:tc>
          <w:tcPr>
            <w:tcW w:w="2268" w:type="dxa"/>
            <w:shd w:val="clear" w:color="auto" w:fill="auto"/>
          </w:tcPr>
          <w:p w14:paraId="71DAF62F" w14:textId="77777777" w:rsidR="0000215C" w:rsidRDefault="0000215C" w:rsidP="0000215C">
            <w:pPr>
              <w:pStyle w:val="NoSpacing"/>
              <w:rPr>
                <w:lang w:val="en-GB"/>
              </w:rPr>
            </w:pPr>
            <w:r>
              <w:rPr>
                <w:lang w:val="en-GB"/>
              </w:rPr>
              <w:t xml:space="preserve">Capital Approval Form </w:t>
            </w:r>
          </w:p>
          <w:p w14:paraId="78234C20" w14:textId="77777777" w:rsidR="0000215C" w:rsidRDefault="0000215C" w:rsidP="0000215C">
            <w:pPr>
              <w:pStyle w:val="NoSpacing"/>
              <w:rPr>
                <w:lang w:val="en-GB"/>
              </w:rPr>
            </w:pPr>
            <w:r>
              <w:rPr>
                <w:lang w:val="en-GB"/>
              </w:rPr>
              <w:t>Business Case</w:t>
            </w:r>
          </w:p>
          <w:p w14:paraId="7D2C6CEB" w14:textId="77777777" w:rsidR="0000215C" w:rsidRPr="0023566D" w:rsidRDefault="0000215C" w:rsidP="0000215C">
            <w:pPr>
              <w:pStyle w:val="NoSpacing"/>
              <w:rPr>
                <w:lang w:val="en-GB"/>
              </w:rPr>
            </w:pPr>
            <w:r w:rsidRPr="0023566D">
              <w:rPr>
                <w:lang w:val="en-GB"/>
              </w:rPr>
              <w:t xml:space="preserve"> </w:t>
            </w:r>
          </w:p>
        </w:tc>
      </w:tr>
      <w:tr w:rsidR="0000215C" w:rsidRPr="0023566D" w14:paraId="1D5DCA3E" w14:textId="77777777" w:rsidTr="0000215C">
        <w:tc>
          <w:tcPr>
            <w:tcW w:w="1844" w:type="dxa"/>
            <w:shd w:val="clear" w:color="auto" w:fill="auto"/>
            <w:tcMar>
              <w:top w:w="0" w:type="dxa"/>
              <w:left w:w="108" w:type="dxa"/>
              <w:bottom w:w="0" w:type="dxa"/>
              <w:right w:w="108" w:type="dxa"/>
            </w:tcMar>
            <w:hideMark/>
          </w:tcPr>
          <w:p w14:paraId="4C3C96D6" w14:textId="77777777" w:rsidR="0000215C" w:rsidRPr="0023566D" w:rsidRDefault="0000215C" w:rsidP="0000215C">
            <w:pPr>
              <w:pStyle w:val="NoSpacing"/>
              <w:rPr>
                <w:lang w:val="en-GB"/>
              </w:rPr>
            </w:pPr>
            <w:r w:rsidRPr="0023566D">
              <w:rPr>
                <w:lang w:val="en-GB"/>
              </w:rPr>
              <w:t>£250k - £1m</w:t>
            </w:r>
          </w:p>
        </w:tc>
        <w:tc>
          <w:tcPr>
            <w:tcW w:w="3543" w:type="dxa"/>
            <w:shd w:val="clear" w:color="auto" w:fill="auto"/>
            <w:tcMar>
              <w:top w:w="0" w:type="dxa"/>
              <w:left w:w="108" w:type="dxa"/>
              <w:bottom w:w="0" w:type="dxa"/>
              <w:right w:w="108" w:type="dxa"/>
            </w:tcMar>
            <w:hideMark/>
          </w:tcPr>
          <w:p w14:paraId="4B737A4A" w14:textId="77777777" w:rsidR="0000215C" w:rsidRPr="0023566D" w:rsidRDefault="0000215C" w:rsidP="0000215C">
            <w:pPr>
              <w:pStyle w:val="NoSpacing"/>
              <w:rPr>
                <w:lang w:val="en-GB"/>
              </w:rPr>
            </w:pPr>
            <w:r w:rsidRPr="0023566D">
              <w:rPr>
                <w:lang w:val="en-GB"/>
              </w:rPr>
              <w:t>Aberystwyth University VC</w:t>
            </w:r>
          </w:p>
        </w:tc>
        <w:tc>
          <w:tcPr>
            <w:tcW w:w="2278" w:type="dxa"/>
            <w:shd w:val="clear" w:color="auto" w:fill="auto"/>
          </w:tcPr>
          <w:p w14:paraId="28274DF6" w14:textId="77777777" w:rsidR="0000215C" w:rsidRPr="0023566D" w:rsidRDefault="0000215C" w:rsidP="0000215C">
            <w:pPr>
              <w:pStyle w:val="NoSpacing"/>
              <w:rPr>
                <w:lang w:val="en-GB"/>
              </w:rPr>
            </w:pPr>
            <w:r w:rsidRPr="0023566D">
              <w:rPr>
                <w:lang w:val="en-GB"/>
              </w:rPr>
              <w:t>Chair of Aberystwyth University Council</w:t>
            </w:r>
          </w:p>
          <w:p w14:paraId="06E6B17C" w14:textId="77777777" w:rsidR="0000215C" w:rsidRPr="0023566D" w:rsidRDefault="0000215C" w:rsidP="0000215C">
            <w:pPr>
              <w:pStyle w:val="NoSpacing"/>
              <w:rPr>
                <w:lang w:val="en-GB"/>
              </w:rPr>
            </w:pPr>
          </w:p>
        </w:tc>
        <w:tc>
          <w:tcPr>
            <w:tcW w:w="2268" w:type="dxa"/>
            <w:shd w:val="clear" w:color="auto" w:fill="auto"/>
          </w:tcPr>
          <w:p w14:paraId="5B3390BA" w14:textId="77777777" w:rsidR="0000215C" w:rsidRDefault="0000215C" w:rsidP="0000215C">
            <w:pPr>
              <w:pStyle w:val="NoSpacing"/>
              <w:rPr>
                <w:lang w:val="en-GB"/>
              </w:rPr>
            </w:pPr>
            <w:r>
              <w:rPr>
                <w:lang w:val="en-GB"/>
              </w:rPr>
              <w:t xml:space="preserve">Capital Approval Form </w:t>
            </w:r>
          </w:p>
          <w:p w14:paraId="64440FA0" w14:textId="77777777" w:rsidR="0000215C" w:rsidRPr="0023566D" w:rsidRDefault="0000215C" w:rsidP="0000215C">
            <w:pPr>
              <w:pStyle w:val="NoSpacing"/>
              <w:rPr>
                <w:lang w:val="en-GB"/>
              </w:rPr>
            </w:pPr>
            <w:r>
              <w:rPr>
                <w:lang w:val="en-GB"/>
              </w:rPr>
              <w:t xml:space="preserve"> </w:t>
            </w:r>
          </w:p>
          <w:p w14:paraId="22186816" w14:textId="77777777" w:rsidR="0000215C" w:rsidRPr="0023566D" w:rsidRDefault="0000215C" w:rsidP="0000215C">
            <w:pPr>
              <w:pStyle w:val="NoSpacing"/>
              <w:rPr>
                <w:lang w:val="en-GB"/>
              </w:rPr>
            </w:pPr>
          </w:p>
        </w:tc>
      </w:tr>
      <w:tr w:rsidR="0000215C" w:rsidRPr="0023566D" w14:paraId="0073908F" w14:textId="77777777" w:rsidTr="0000215C">
        <w:tc>
          <w:tcPr>
            <w:tcW w:w="1844" w:type="dxa"/>
            <w:shd w:val="clear" w:color="auto" w:fill="auto"/>
            <w:tcMar>
              <w:top w:w="0" w:type="dxa"/>
              <w:left w:w="108" w:type="dxa"/>
              <w:bottom w:w="0" w:type="dxa"/>
              <w:right w:w="108" w:type="dxa"/>
            </w:tcMar>
            <w:hideMark/>
          </w:tcPr>
          <w:p w14:paraId="3224737B" w14:textId="77777777" w:rsidR="0000215C" w:rsidRPr="0023566D" w:rsidRDefault="0000215C" w:rsidP="0000215C">
            <w:pPr>
              <w:pStyle w:val="NoSpacing"/>
              <w:rPr>
                <w:lang w:val="en-GB"/>
              </w:rPr>
            </w:pPr>
            <w:r w:rsidRPr="0023566D">
              <w:rPr>
                <w:lang w:val="en-GB"/>
              </w:rPr>
              <w:t xml:space="preserve">£50k - £250k </w:t>
            </w:r>
          </w:p>
        </w:tc>
        <w:tc>
          <w:tcPr>
            <w:tcW w:w="3543" w:type="dxa"/>
            <w:shd w:val="clear" w:color="auto" w:fill="auto"/>
            <w:tcMar>
              <w:top w:w="0" w:type="dxa"/>
              <w:left w:w="108" w:type="dxa"/>
              <w:bottom w:w="0" w:type="dxa"/>
              <w:right w:w="108" w:type="dxa"/>
            </w:tcMar>
            <w:hideMark/>
          </w:tcPr>
          <w:p w14:paraId="3B6F100C" w14:textId="77777777" w:rsidR="0000215C" w:rsidRPr="0023566D" w:rsidRDefault="0000215C" w:rsidP="0000215C">
            <w:pPr>
              <w:pStyle w:val="NoSpacing"/>
              <w:rPr>
                <w:lang w:val="en-GB"/>
              </w:rPr>
            </w:pPr>
            <w:r w:rsidRPr="0023566D">
              <w:rPr>
                <w:lang w:val="en-GB"/>
              </w:rPr>
              <w:t xml:space="preserve">Accountable Budget Controllers </w:t>
            </w:r>
          </w:p>
          <w:p w14:paraId="2EC77873" w14:textId="77777777" w:rsidR="0000215C" w:rsidRPr="0023566D" w:rsidRDefault="0000215C" w:rsidP="0000215C">
            <w:pPr>
              <w:pStyle w:val="NoSpacing"/>
              <w:rPr>
                <w:lang w:val="en-GB"/>
              </w:rPr>
            </w:pPr>
            <w:r w:rsidRPr="0023566D">
              <w:rPr>
                <w:lang w:val="en-GB"/>
              </w:rPr>
              <w:t>Director of Estates</w:t>
            </w:r>
            <w:r w:rsidR="00076485">
              <w:rPr>
                <w:rFonts w:ascii="Calibri" w:eastAsia="Calibri" w:hAnsi="Calibri" w:cs="Calibri"/>
                <w:szCs w:val="20"/>
              </w:rPr>
              <w:t>, Facilities and Residences</w:t>
            </w:r>
          </w:p>
        </w:tc>
        <w:tc>
          <w:tcPr>
            <w:tcW w:w="2278" w:type="dxa"/>
            <w:shd w:val="clear" w:color="auto" w:fill="auto"/>
          </w:tcPr>
          <w:p w14:paraId="35649052" w14:textId="77777777" w:rsidR="0000215C" w:rsidRPr="0023566D" w:rsidRDefault="0000215C" w:rsidP="0000215C">
            <w:pPr>
              <w:pStyle w:val="NoSpacing"/>
              <w:rPr>
                <w:lang w:val="en-GB"/>
              </w:rPr>
            </w:pPr>
            <w:r w:rsidRPr="0023566D">
              <w:rPr>
                <w:lang w:val="en-GB"/>
              </w:rPr>
              <w:t>Aberystwyth University VC</w:t>
            </w:r>
          </w:p>
        </w:tc>
        <w:tc>
          <w:tcPr>
            <w:tcW w:w="2268" w:type="dxa"/>
            <w:shd w:val="clear" w:color="auto" w:fill="auto"/>
          </w:tcPr>
          <w:p w14:paraId="6E016AA2" w14:textId="77777777" w:rsidR="0000215C" w:rsidRDefault="0000215C" w:rsidP="0000215C">
            <w:pPr>
              <w:pStyle w:val="NoSpacing"/>
              <w:rPr>
                <w:lang w:val="en-GB"/>
              </w:rPr>
            </w:pPr>
            <w:r>
              <w:rPr>
                <w:lang w:val="en-GB"/>
              </w:rPr>
              <w:t xml:space="preserve">Capital Approval Form </w:t>
            </w:r>
          </w:p>
          <w:p w14:paraId="4764C8AE" w14:textId="77777777" w:rsidR="0000215C" w:rsidRPr="0023566D" w:rsidRDefault="0000215C" w:rsidP="0000215C">
            <w:pPr>
              <w:pStyle w:val="NoSpacing"/>
              <w:rPr>
                <w:lang w:val="en-GB"/>
              </w:rPr>
            </w:pPr>
          </w:p>
        </w:tc>
      </w:tr>
      <w:tr w:rsidR="0000215C" w:rsidRPr="0023566D" w14:paraId="124FACAE" w14:textId="77777777" w:rsidTr="0000215C">
        <w:tc>
          <w:tcPr>
            <w:tcW w:w="1844" w:type="dxa"/>
            <w:shd w:val="clear" w:color="auto" w:fill="auto"/>
            <w:tcMar>
              <w:top w:w="0" w:type="dxa"/>
              <w:left w:w="108" w:type="dxa"/>
              <w:bottom w:w="0" w:type="dxa"/>
              <w:right w:w="108" w:type="dxa"/>
            </w:tcMar>
            <w:hideMark/>
          </w:tcPr>
          <w:p w14:paraId="6C7D6D27" w14:textId="77777777" w:rsidR="0000215C" w:rsidRPr="0023566D" w:rsidRDefault="0000215C" w:rsidP="0000215C">
            <w:pPr>
              <w:pStyle w:val="NoSpacing"/>
              <w:rPr>
                <w:lang w:val="en-GB"/>
              </w:rPr>
            </w:pPr>
            <w:r w:rsidRPr="0023566D">
              <w:rPr>
                <w:lang w:val="en-GB"/>
              </w:rPr>
              <w:t>£10k - £50k</w:t>
            </w:r>
          </w:p>
        </w:tc>
        <w:tc>
          <w:tcPr>
            <w:tcW w:w="3543" w:type="dxa"/>
            <w:shd w:val="clear" w:color="auto" w:fill="auto"/>
            <w:tcMar>
              <w:top w:w="0" w:type="dxa"/>
              <w:left w:w="108" w:type="dxa"/>
              <w:bottom w:w="0" w:type="dxa"/>
              <w:right w:w="108" w:type="dxa"/>
            </w:tcMar>
            <w:hideMark/>
          </w:tcPr>
          <w:p w14:paraId="22D15BA5" w14:textId="77777777" w:rsidR="0000215C" w:rsidRPr="0023566D" w:rsidRDefault="009A399C" w:rsidP="0000215C">
            <w:pPr>
              <w:pStyle w:val="NoSpacing"/>
              <w:rPr>
                <w:lang w:val="en-GB"/>
              </w:rPr>
            </w:pPr>
            <w:r>
              <w:rPr>
                <w:lang w:val="en-GB"/>
              </w:rPr>
              <w:t>Executive</w:t>
            </w:r>
          </w:p>
        </w:tc>
        <w:tc>
          <w:tcPr>
            <w:tcW w:w="2278" w:type="dxa"/>
            <w:shd w:val="clear" w:color="auto" w:fill="auto"/>
          </w:tcPr>
          <w:p w14:paraId="54B58C4D" w14:textId="77777777" w:rsidR="0000215C" w:rsidRPr="0023566D" w:rsidRDefault="0000215C" w:rsidP="0000215C">
            <w:pPr>
              <w:pStyle w:val="NoSpacing"/>
              <w:rPr>
                <w:lang w:val="en-GB"/>
              </w:rPr>
            </w:pPr>
            <w:r w:rsidRPr="0023566D">
              <w:rPr>
                <w:lang w:val="en-GB"/>
              </w:rPr>
              <w:t>Aberystwyth University VC</w:t>
            </w:r>
          </w:p>
        </w:tc>
        <w:tc>
          <w:tcPr>
            <w:tcW w:w="2268" w:type="dxa"/>
            <w:shd w:val="clear" w:color="auto" w:fill="auto"/>
          </w:tcPr>
          <w:p w14:paraId="53D44B20" w14:textId="77777777" w:rsidR="0000215C" w:rsidRPr="0023566D" w:rsidRDefault="009A399C" w:rsidP="0000215C">
            <w:pPr>
              <w:pStyle w:val="NoSpacing"/>
              <w:rPr>
                <w:lang w:val="en-GB"/>
              </w:rPr>
            </w:pPr>
            <w:r>
              <w:rPr>
                <w:lang w:val="en-GB"/>
              </w:rPr>
              <w:t>Capital Approval Form</w:t>
            </w:r>
          </w:p>
          <w:p w14:paraId="1252ECB6" w14:textId="77777777" w:rsidR="0000215C" w:rsidRPr="0023566D" w:rsidRDefault="0000215C" w:rsidP="0000215C">
            <w:pPr>
              <w:pStyle w:val="NoSpacing"/>
              <w:rPr>
                <w:lang w:val="en-GB"/>
              </w:rPr>
            </w:pPr>
          </w:p>
        </w:tc>
      </w:tr>
    </w:tbl>
    <w:p w14:paraId="4E5C3662" w14:textId="5F414FD6" w:rsidR="0024681D" w:rsidRPr="000C0069" w:rsidRDefault="0024681D" w:rsidP="000C0069">
      <w:pPr>
        <w:pStyle w:val="Level3paragraph"/>
        <w:numPr>
          <w:ilvl w:val="0"/>
          <w:numId w:val="0"/>
        </w:numPr>
        <w:spacing w:before="120" w:after="120"/>
        <w:contextualSpacing/>
        <w:jc w:val="both"/>
        <w:rPr>
          <w:rFonts w:cs="Times New Roman"/>
          <w:color w:val="000000"/>
        </w:rPr>
      </w:pPr>
    </w:p>
    <w:p w14:paraId="7FEB7B03" w14:textId="39FE61D3" w:rsidR="005716BA" w:rsidRDefault="0000215C" w:rsidP="005716BA">
      <w:pPr>
        <w:pStyle w:val="Heading3"/>
        <w:spacing w:before="0"/>
        <w:jc w:val="both"/>
      </w:pPr>
      <w:r w:rsidRPr="00B814B2">
        <w:t xml:space="preserve">All </w:t>
      </w:r>
      <w:r w:rsidR="009A399C" w:rsidRPr="00B814B2">
        <w:t>Faculties</w:t>
      </w:r>
      <w:r w:rsidRPr="00B814B2">
        <w:t xml:space="preserve"> and Departments will make requests for capital expenditure during the annual </w:t>
      </w:r>
      <w:r w:rsidR="0089768D" w:rsidRPr="00B814B2">
        <w:t xml:space="preserve">   </w:t>
      </w:r>
      <w:r w:rsidRPr="00B814B2">
        <w:t xml:space="preserve">planning process and within the budget returns. This will </w:t>
      </w:r>
      <w:r w:rsidR="009A399C" w:rsidRPr="00B814B2">
        <w:t>include all equipment purchases</w:t>
      </w:r>
      <w:r w:rsidRPr="00B814B2">
        <w:t xml:space="preserve"> </w:t>
      </w:r>
      <w:r w:rsidR="009A399C" w:rsidRPr="00B814B2">
        <w:t xml:space="preserve">and / </w:t>
      </w:r>
      <w:r w:rsidRPr="00B814B2">
        <w:t>or teaching room investments.</w:t>
      </w:r>
    </w:p>
    <w:p w14:paraId="6EFBBFFB" w14:textId="77777777" w:rsidR="00356430" w:rsidRPr="00356430" w:rsidRDefault="00356430" w:rsidP="00356430"/>
    <w:p w14:paraId="7A79F1B5" w14:textId="0EE0703C" w:rsidR="0000215C" w:rsidRDefault="0093405B" w:rsidP="00B46B6F">
      <w:pPr>
        <w:ind w:left="1440" w:hanging="731"/>
        <w:jc w:val="both"/>
      </w:pPr>
      <w:r>
        <w:t>1</w:t>
      </w:r>
      <w:r w:rsidR="00D2756F">
        <w:t>5</w:t>
      </w:r>
      <w:r>
        <w:t>.</w:t>
      </w:r>
      <w:r w:rsidR="0024681D">
        <w:t>4</w:t>
      </w:r>
      <w:r w:rsidR="00EF528D">
        <w:t>.1</w:t>
      </w:r>
      <w:r w:rsidR="00637F19">
        <w:t>.</w:t>
      </w:r>
      <w:r w:rsidR="00EF528D">
        <w:tab/>
      </w:r>
      <w:r w:rsidR="000B3752">
        <w:t>The Director of Estate</w:t>
      </w:r>
      <w:r w:rsidR="008F2159">
        <w:t xml:space="preserve">, Facilities and Residences is responsible for the costing of all building work and </w:t>
      </w:r>
      <w:r w:rsidR="00272887">
        <w:t>Estates will review all refurbishment or reconfiguration requests made through the budget</w:t>
      </w:r>
      <w:r w:rsidR="00B46B6F">
        <w:t xml:space="preserve"> setting processes.</w:t>
      </w:r>
    </w:p>
    <w:p w14:paraId="6A0D6726" w14:textId="1DCA0DB6" w:rsidR="0000215C" w:rsidRPr="0023566D" w:rsidRDefault="004D5570" w:rsidP="005716BA">
      <w:pPr>
        <w:ind w:left="1440" w:hanging="731"/>
        <w:jc w:val="both"/>
      </w:pPr>
      <w:r>
        <w:t>1</w:t>
      </w:r>
      <w:r w:rsidR="00D2756F">
        <w:t>5</w:t>
      </w:r>
      <w:r>
        <w:t>.</w:t>
      </w:r>
      <w:r w:rsidR="0024681D">
        <w:t>4</w:t>
      </w:r>
      <w:r>
        <w:t>.</w:t>
      </w:r>
      <w:r w:rsidR="00637F19">
        <w:t>2.</w:t>
      </w:r>
      <w:r w:rsidR="00637F19">
        <w:tab/>
        <w:t xml:space="preserve">Cost estimates for equipment or furniture should be provided by the department </w:t>
      </w:r>
      <w:r w:rsidR="00042AB4">
        <w:t>making the request to purchase capital assets.</w:t>
      </w:r>
    </w:p>
    <w:p w14:paraId="1F3B1332" w14:textId="1E373A5A" w:rsidR="009A399C" w:rsidRPr="00EA3F29" w:rsidRDefault="0000215C" w:rsidP="009A399C">
      <w:pPr>
        <w:pStyle w:val="Heading3"/>
      </w:pPr>
      <w:bookmarkStart w:id="2" w:name="_Ref478389795"/>
      <w:r w:rsidRPr="00EA3F29">
        <w:t>Capital Expenditure Authorisation Process</w:t>
      </w:r>
      <w:bookmarkEnd w:id="2"/>
      <w:r w:rsidRPr="00EA3F29">
        <w:t xml:space="preserve"> </w:t>
      </w:r>
    </w:p>
    <w:p w14:paraId="47C65727" w14:textId="3D6B6FCA" w:rsidR="008117BB" w:rsidRDefault="008117BB" w:rsidP="00C34B05">
      <w:pPr>
        <w:ind w:left="709"/>
      </w:pPr>
    </w:p>
    <w:p w14:paraId="0DEE3AF5" w14:textId="2E23719E" w:rsidR="004F0814" w:rsidRDefault="00C34B05" w:rsidP="00996089">
      <w:pPr>
        <w:pStyle w:val="Heading4"/>
        <w:numPr>
          <w:ilvl w:val="0"/>
          <w:numId w:val="0"/>
        </w:numPr>
        <w:ind w:left="1440" w:hanging="731"/>
        <w:jc w:val="both"/>
        <w:rPr>
          <w:b w:val="0"/>
          <w:bCs w:val="0"/>
          <w:color w:val="auto"/>
        </w:rPr>
      </w:pPr>
      <w:r w:rsidRPr="00C34B05">
        <w:rPr>
          <w:b w:val="0"/>
          <w:bCs w:val="0"/>
          <w:color w:val="auto"/>
        </w:rPr>
        <w:t>1</w:t>
      </w:r>
      <w:r w:rsidR="00D2756F">
        <w:rPr>
          <w:b w:val="0"/>
          <w:bCs w:val="0"/>
          <w:color w:val="auto"/>
        </w:rPr>
        <w:t>5</w:t>
      </w:r>
      <w:r w:rsidRPr="00C34B05">
        <w:rPr>
          <w:b w:val="0"/>
          <w:bCs w:val="0"/>
          <w:color w:val="auto"/>
        </w:rPr>
        <w:t>.</w:t>
      </w:r>
      <w:r w:rsidR="0024681D">
        <w:rPr>
          <w:b w:val="0"/>
          <w:bCs w:val="0"/>
          <w:color w:val="auto"/>
        </w:rPr>
        <w:t>5</w:t>
      </w:r>
      <w:r w:rsidRPr="00C34B05">
        <w:rPr>
          <w:b w:val="0"/>
          <w:bCs w:val="0"/>
          <w:color w:val="auto"/>
        </w:rPr>
        <w:t>.1.</w:t>
      </w:r>
      <w:r>
        <w:rPr>
          <w:b w:val="0"/>
          <w:bCs w:val="0"/>
          <w:color w:val="auto"/>
        </w:rPr>
        <w:tab/>
      </w:r>
      <w:r w:rsidR="00730488">
        <w:rPr>
          <w:b w:val="0"/>
          <w:bCs w:val="0"/>
          <w:color w:val="auto"/>
        </w:rPr>
        <w:t xml:space="preserve">Once the </w:t>
      </w:r>
      <w:r w:rsidR="00BE6F6C">
        <w:rPr>
          <w:b w:val="0"/>
          <w:bCs w:val="0"/>
          <w:color w:val="auto"/>
        </w:rPr>
        <w:t>Capital Budget has been approved by Council capital expenditure is only permitted once the relevant</w:t>
      </w:r>
      <w:r w:rsidRPr="00BE6F6C">
        <w:rPr>
          <w:b w:val="0"/>
          <w:bCs w:val="0"/>
          <w:color w:val="auto"/>
        </w:rPr>
        <w:tab/>
      </w:r>
      <w:r w:rsidR="00BE6F6C" w:rsidRPr="00BE6F6C">
        <w:rPr>
          <w:b w:val="0"/>
          <w:bCs w:val="0"/>
          <w:color w:val="auto"/>
        </w:rPr>
        <w:t xml:space="preserve"> Authorised Signatory in the matrix above has approved the CAF </w:t>
      </w:r>
      <w:r w:rsidR="00333DDC">
        <w:rPr>
          <w:b w:val="0"/>
          <w:bCs w:val="0"/>
          <w:color w:val="auto"/>
        </w:rPr>
        <w:t>and / or Business Case submitted.</w:t>
      </w:r>
    </w:p>
    <w:p w14:paraId="7CD4D118" w14:textId="77777777" w:rsidR="00996089" w:rsidRPr="00996089" w:rsidRDefault="00996089" w:rsidP="00996089"/>
    <w:p w14:paraId="385C1857" w14:textId="1701B5B2" w:rsidR="009A399C" w:rsidRDefault="004F0814" w:rsidP="00996089">
      <w:pPr>
        <w:ind w:left="1440" w:hanging="720"/>
      </w:pPr>
      <w:r>
        <w:t>1</w:t>
      </w:r>
      <w:r w:rsidR="00D2756F">
        <w:t>5</w:t>
      </w:r>
      <w:r>
        <w:t>.</w:t>
      </w:r>
      <w:r w:rsidR="0024681D">
        <w:t>5</w:t>
      </w:r>
      <w:r>
        <w:t>.2.</w:t>
      </w:r>
      <w:r>
        <w:tab/>
        <w:t>For all capital expenditure, a Capital Approval Form (“CAF) will need to be complet</w:t>
      </w:r>
      <w:r w:rsidR="00C73822">
        <w:t>ed by the project manager and signed by the individuals noted in the Authority Matrix and returned to Finance before starting the procurement process.</w:t>
      </w:r>
    </w:p>
    <w:p w14:paraId="553495FE" w14:textId="31C2CF48" w:rsidR="0018153B" w:rsidRDefault="00392F88" w:rsidP="00392F88">
      <w:pPr>
        <w:ind w:left="1440" w:hanging="720"/>
      </w:pPr>
      <w:r>
        <w:t>1</w:t>
      </w:r>
      <w:r w:rsidR="00D2756F">
        <w:t>5</w:t>
      </w:r>
      <w:r>
        <w:t>.</w:t>
      </w:r>
      <w:r w:rsidR="0024681D">
        <w:t>5</w:t>
      </w:r>
      <w:r>
        <w:t>.3.</w:t>
      </w:r>
      <w:r>
        <w:tab/>
        <w:t>The project manager must also:</w:t>
      </w:r>
    </w:p>
    <w:p w14:paraId="5D6B0B1C" w14:textId="77777777" w:rsidR="0000215C" w:rsidRDefault="0018153B" w:rsidP="005A2AFE">
      <w:pPr>
        <w:pStyle w:val="Level3paragraph"/>
        <w:numPr>
          <w:ilvl w:val="0"/>
          <w:numId w:val="13"/>
        </w:numPr>
      </w:pPr>
      <w:r>
        <w:t>C</w:t>
      </w:r>
      <w:r w:rsidR="0000215C">
        <w:t>onsult with the Health and Safety department</w:t>
      </w:r>
      <w:r>
        <w:t xml:space="preserve"> where applicable</w:t>
      </w:r>
      <w:r w:rsidR="0000215C">
        <w:t xml:space="preserve">. </w:t>
      </w:r>
    </w:p>
    <w:p w14:paraId="6E962934" w14:textId="77777777" w:rsidR="0018153B" w:rsidRDefault="0018153B" w:rsidP="005A2AFE">
      <w:pPr>
        <w:pStyle w:val="Level3paragraph"/>
        <w:numPr>
          <w:ilvl w:val="0"/>
          <w:numId w:val="13"/>
        </w:numPr>
      </w:pPr>
      <w:r>
        <w:t>Consult with the IS department if the project involves spend on IT equipment or infrastructure.</w:t>
      </w:r>
    </w:p>
    <w:p w14:paraId="11B7AFA6" w14:textId="1E778827" w:rsidR="0018153B" w:rsidRDefault="0018153B" w:rsidP="005A2AFE">
      <w:pPr>
        <w:pStyle w:val="Level3paragraph"/>
        <w:numPr>
          <w:ilvl w:val="0"/>
          <w:numId w:val="13"/>
        </w:numPr>
      </w:pPr>
      <w:r>
        <w:t>Consult with Estates if the project requires changes or additions to the estate.</w:t>
      </w:r>
    </w:p>
    <w:p w14:paraId="2053EC3F" w14:textId="49025A7C" w:rsidR="0000215C" w:rsidRDefault="00B97F44" w:rsidP="00B97F44">
      <w:pPr>
        <w:pStyle w:val="Level3paragraph"/>
        <w:numPr>
          <w:ilvl w:val="0"/>
          <w:numId w:val="0"/>
        </w:numPr>
        <w:ind w:left="1440" w:hanging="731"/>
      </w:pPr>
      <w:r>
        <w:t>1</w:t>
      </w:r>
      <w:r w:rsidR="00D2756F">
        <w:t>5</w:t>
      </w:r>
      <w:r>
        <w:t>.</w:t>
      </w:r>
      <w:r w:rsidR="0024681D">
        <w:t>5</w:t>
      </w:r>
      <w:r>
        <w:t>.4.</w:t>
      </w:r>
      <w:r>
        <w:tab/>
        <w:t>The contract of purchase order will need to be signed by the individual noted in the Authority Matrix.</w:t>
      </w:r>
    </w:p>
    <w:p w14:paraId="67C3A539" w14:textId="53C2C6F3" w:rsidR="00555EE0" w:rsidRDefault="00555EE0" w:rsidP="00F3791F">
      <w:pPr>
        <w:pStyle w:val="Level3paragraph"/>
        <w:numPr>
          <w:ilvl w:val="0"/>
          <w:numId w:val="0"/>
        </w:numPr>
        <w:ind w:left="1440" w:hanging="731"/>
        <w:jc w:val="both"/>
      </w:pPr>
      <w:r>
        <w:t>1</w:t>
      </w:r>
      <w:r w:rsidR="00D2756F">
        <w:t>5</w:t>
      </w:r>
      <w:r>
        <w:t>.</w:t>
      </w:r>
      <w:r w:rsidR="0024681D">
        <w:t>5</w:t>
      </w:r>
      <w:r>
        <w:t>.5.</w:t>
      </w:r>
      <w:r>
        <w:tab/>
        <w:t>If the actual contract value is more than 5% higher than the values noted in the original Capital Approval Form, then the Capital Approval Form must be updated and approved again.</w:t>
      </w:r>
    </w:p>
    <w:p w14:paraId="4646E127" w14:textId="15E57DAD" w:rsidR="0000215C" w:rsidRPr="0023566D" w:rsidRDefault="00F3791F" w:rsidP="00F3791F">
      <w:pPr>
        <w:pStyle w:val="Level3paragraph"/>
        <w:numPr>
          <w:ilvl w:val="0"/>
          <w:numId w:val="0"/>
        </w:numPr>
        <w:ind w:left="1440" w:hanging="731"/>
        <w:jc w:val="both"/>
      </w:pPr>
      <w:r>
        <w:t>1</w:t>
      </w:r>
      <w:r w:rsidR="00D2756F">
        <w:t>5</w:t>
      </w:r>
      <w:r>
        <w:t>.</w:t>
      </w:r>
      <w:r w:rsidR="0024681D">
        <w:t>5</w:t>
      </w:r>
      <w:r>
        <w:t>.6.</w:t>
      </w:r>
      <w:r>
        <w:tab/>
        <w:t>For the capital expenditure, a Capital Expenditure Record form should be completed at the time of signing the contract or purchase order.</w:t>
      </w:r>
    </w:p>
    <w:p w14:paraId="28387C92" w14:textId="792AA5D1" w:rsidR="0000215C" w:rsidRDefault="0000215C" w:rsidP="0000215C">
      <w:pPr>
        <w:pStyle w:val="Heading3"/>
      </w:pPr>
      <w:r w:rsidRPr="0023566D">
        <w:t>Variations and Overspend</w:t>
      </w:r>
    </w:p>
    <w:p w14:paraId="742840E1" w14:textId="474DDE9D" w:rsidR="00E04E27" w:rsidRPr="00E04E27" w:rsidRDefault="00E04E27" w:rsidP="00E04E27"/>
    <w:p w14:paraId="1A0FB9FE" w14:textId="44050ED8" w:rsidR="0000215C" w:rsidRDefault="00E04E27" w:rsidP="0060208F">
      <w:pPr>
        <w:pStyle w:val="Heading4"/>
        <w:numPr>
          <w:ilvl w:val="0"/>
          <w:numId w:val="0"/>
        </w:numPr>
        <w:ind w:left="1440" w:hanging="731"/>
        <w:jc w:val="both"/>
        <w:rPr>
          <w:b w:val="0"/>
          <w:bCs w:val="0"/>
          <w:color w:val="auto"/>
        </w:rPr>
      </w:pPr>
      <w:r w:rsidRPr="00E04E27">
        <w:rPr>
          <w:b w:val="0"/>
          <w:bCs w:val="0"/>
          <w:color w:val="auto"/>
        </w:rPr>
        <w:t>1</w:t>
      </w:r>
      <w:r w:rsidR="00D2756F">
        <w:rPr>
          <w:b w:val="0"/>
          <w:bCs w:val="0"/>
          <w:color w:val="auto"/>
        </w:rPr>
        <w:t>5</w:t>
      </w:r>
      <w:r w:rsidRPr="00E04E27">
        <w:rPr>
          <w:b w:val="0"/>
          <w:bCs w:val="0"/>
          <w:color w:val="auto"/>
        </w:rPr>
        <w:t>.</w:t>
      </w:r>
      <w:r w:rsidR="0024681D">
        <w:rPr>
          <w:b w:val="0"/>
          <w:bCs w:val="0"/>
          <w:color w:val="auto"/>
        </w:rPr>
        <w:t>6</w:t>
      </w:r>
      <w:r w:rsidRPr="00E04E27">
        <w:rPr>
          <w:b w:val="0"/>
          <w:bCs w:val="0"/>
          <w:color w:val="auto"/>
        </w:rPr>
        <w:t>.1</w:t>
      </w:r>
      <w:r>
        <w:t>.</w:t>
      </w:r>
      <w:r>
        <w:tab/>
      </w:r>
      <w:r w:rsidRPr="0039312E">
        <w:rPr>
          <w:b w:val="0"/>
          <w:bCs w:val="0"/>
          <w:color w:val="auto"/>
        </w:rPr>
        <w:t>If expenditure on any Capital Proposal is expected to exceed the approved amount on the Capital Approval Form by more than 5%, a supplementary Capital Approval needs to be authorised</w:t>
      </w:r>
      <w:r w:rsidR="00700E85">
        <w:rPr>
          <w:b w:val="0"/>
          <w:bCs w:val="0"/>
          <w:color w:val="auto"/>
        </w:rPr>
        <w:t>.</w:t>
      </w:r>
      <w:r w:rsidRPr="0039312E">
        <w:rPr>
          <w:b w:val="0"/>
          <w:bCs w:val="0"/>
          <w:color w:val="auto"/>
        </w:rPr>
        <w:t xml:space="preserve"> Authorisation is required according to the levels set out within the Authorisation Matrix.  Such a proposal should be raised as soon as the likelihood of overspend is identified.</w:t>
      </w:r>
    </w:p>
    <w:p w14:paraId="72AA6E9E" w14:textId="77777777" w:rsidR="005F2553" w:rsidRDefault="005F2553" w:rsidP="005F2553"/>
    <w:p w14:paraId="55DAA050" w14:textId="2C49BD6E" w:rsidR="005F2553" w:rsidRDefault="005F2553" w:rsidP="001D2CBC">
      <w:pPr>
        <w:ind w:left="1440" w:hanging="720"/>
        <w:jc w:val="both"/>
      </w:pPr>
      <w:r>
        <w:t>1</w:t>
      </w:r>
      <w:r w:rsidR="00D2756F">
        <w:t>5</w:t>
      </w:r>
      <w:r>
        <w:t>.</w:t>
      </w:r>
      <w:r w:rsidR="0024681D">
        <w:t>6</w:t>
      </w:r>
      <w:r>
        <w:t>.</w:t>
      </w:r>
      <w:r w:rsidR="006A055D">
        <w:t>2.</w:t>
      </w:r>
      <w:r w:rsidR="006A055D">
        <w:tab/>
      </w:r>
      <w:r w:rsidR="001D2CBC">
        <w:t>Contract variations are only permitted where they care catered for in the original contract.  Such variations should also be considered when originally valuing the contract (even if the variation may not subsequently be adopted) to determine which financial procedures must be followed to award the original contract.  An existing contract should not be extended by more than 40% of its original value in total.</w:t>
      </w:r>
    </w:p>
    <w:p w14:paraId="0F4D55A4" w14:textId="07E2DB87" w:rsidR="003328E8" w:rsidRDefault="00207945" w:rsidP="001D2CBC">
      <w:pPr>
        <w:ind w:left="1440" w:hanging="720"/>
        <w:jc w:val="both"/>
      </w:pPr>
      <w:r>
        <w:t>1</w:t>
      </w:r>
      <w:r w:rsidR="00D2756F">
        <w:t>5</w:t>
      </w:r>
      <w:r>
        <w:t>.</w:t>
      </w:r>
      <w:r w:rsidR="0024681D">
        <w:t>6</w:t>
      </w:r>
      <w:r>
        <w:t>.3.</w:t>
      </w:r>
      <w:r>
        <w:tab/>
      </w:r>
      <w:r w:rsidR="008C0FE9">
        <w:t>Changes to programmes of work, made</w:t>
      </w:r>
      <w:r w:rsidR="00D30B9C">
        <w:t xml:space="preserve"> up of discrete individual projects, which materially impact on the timing or nature</w:t>
      </w:r>
      <w:r w:rsidR="001A0F22">
        <w:t xml:space="preserve"> of the constituent projects must be reported to the University Executive for noting.</w:t>
      </w:r>
    </w:p>
    <w:p w14:paraId="5698BA35" w14:textId="74144B8C" w:rsidR="004153F9" w:rsidRPr="005F2553" w:rsidRDefault="004153F9" w:rsidP="001D2CBC">
      <w:pPr>
        <w:ind w:left="1440" w:hanging="720"/>
        <w:jc w:val="both"/>
      </w:pPr>
      <w:r>
        <w:t>1</w:t>
      </w:r>
      <w:r w:rsidR="00D2756F">
        <w:t>5</w:t>
      </w:r>
      <w:r>
        <w:t>.</w:t>
      </w:r>
      <w:r w:rsidR="0024681D">
        <w:t>6</w:t>
      </w:r>
      <w:r>
        <w:t>.4.</w:t>
      </w:r>
      <w:r>
        <w:tab/>
      </w:r>
      <w:r w:rsidR="00214FD8">
        <w:t>Items of equipment which are fully funded by external grants are not subject to the Authority Matrix though the Finance Office will need to confirm funds are available as part of the procurement process.</w:t>
      </w:r>
    </w:p>
    <w:p w14:paraId="03465F4E" w14:textId="77777777" w:rsidR="00D254A8" w:rsidRDefault="00D254A8" w:rsidP="0000215C">
      <w:pPr>
        <w:widowControl/>
        <w:rPr>
          <w:rFonts w:asciiTheme="majorHAnsi" w:eastAsiaTheme="majorEastAsia" w:hAnsiTheme="majorHAnsi" w:cstheme="majorBidi"/>
          <w:color w:val="365F91" w:themeColor="accent1" w:themeShade="BF"/>
          <w:sz w:val="26"/>
          <w:szCs w:val="26"/>
        </w:rPr>
        <w:sectPr w:rsidR="00D254A8" w:rsidSect="00EC6BC6">
          <w:headerReference w:type="default" r:id="rId13"/>
          <w:footerReference w:type="default" r:id="rId14"/>
          <w:pgSz w:w="11906" w:h="16838"/>
          <w:pgMar w:top="1440" w:right="1440" w:bottom="1440" w:left="1440" w:header="850" w:footer="708" w:gutter="0"/>
          <w:cols w:space="708"/>
          <w:docGrid w:linePitch="360"/>
        </w:sectPr>
      </w:pPr>
    </w:p>
    <w:p w14:paraId="3DC2DCD9" w14:textId="77777777" w:rsidR="0000215C" w:rsidRDefault="0000215C" w:rsidP="0000215C">
      <w:pPr>
        <w:widowControl/>
        <w:rPr>
          <w:rFonts w:asciiTheme="majorHAnsi" w:eastAsiaTheme="majorEastAsia" w:hAnsiTheme="majorHAnsi" w:cstheme="majorBidi"/>
          <w:color w:val="365F91" w:themeColor="accent1" w:themeShade="BF"/>
          <w:sz w:val="26"/>
          <w:szCs w:val="26"/>
        </w:rPr>
      </w:pPr>
    </w:p>
    <w:p w14:paraId="779F3C6F" w14:textId="77777777" w:rsidR="0000215C" w:rsidRDefault="0000215C" w:rsidP="0000215C">
      <w:pPr>
        <w:pStyle w:val="Heading3"/>
      </w:pPr>
      <w:r>
        <w:t>Capital Expenditure Workflo</w:t>
      </w:r>
      <w:r w:rsidR="00BD6A6B">
        <w:t>w</w:t>
      </w:r>
      <w:r w:rsidR="00D254A8">
        <w:rPr>
          <w:noProof/>
          <w:lang w:eastAsia="en-GB"/>
        </w:rPr>
        <w:drawing>
          <wp:inline distT="0" distB="0" distL="0" distR="0" wp14:anchorId="5EBE1F17" wp14:editId="3EBBA7C5">
            <wp:extent cx="8863330" cy="514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63330" cy="5149850"/>
                    </a:xfrm>
                    <a:prstGeom prst="rect">
                      <a:avLst/>
                    </a:prstGeom>
                  </pic:spPr>
                </pic:pic>
              </a:graphicData>
            </a:graphic>
          </wp:inline>
        </w:drawing>
      </w:r>
    </w:p>
    <w:p w14:paraId="32DE69BB" w14:textId="77777777" w:rsidR="00D254A8" w:rsidRDefault="00D254A8">
      <w:pPr>
        <w:widowControl/>
        <w:sectPr w:rsidR="00D254A8" w:rsidSect="00D254A8">
          <w:pgSz w:w="16838" w:h="11906" w:orient="landscape"/>
          <w:pgMar w:top="1440" w:right="1440" w:bottom="1440" w:left="1440" w:header="851" w:footer="709" w:gutter="0"/>
          <w:cols w:space="708"/>
          <w:docGrid w:linePitch="360"/>
        </w:sectPr>
      </w:pPr>
    </w:p>
    <w:p w14:paraId="198B0B12" w14:textId="77777777" w:rsidR="0000215C" w:rsidRPr="0023566D" w:rsidRDefault="0000215C" w:rsidP="00BD6A6B">
      <w:pPr>
        <w:pStyle w:val="Heading3"/>
      </w:pPr>
      <w:r w:rsidRPr="0023566D">
        <w:t>Capitalisation criteria</w:t>
      </w:r>
    </w:p>
    <w:p w14:paraId="1A4236BF" w14:textId="5BD37E9C" w:rsidR="00695EFB" w:rsidRDefault="0000215C" w:rsidP="00695EFB">
      <w:pPr>
        <w:pStyle w:val="Level3paragraph"/>
      </w:pPr>
      <w:r w:rsidRPr="0023566D">
        <w:t>Capital Expenditure Projects are broadly:</w:t>
      </w:r>
    </w:p>
    <w:p w14:paraId="5BAD0442" w14:textId="77777777" w:rsidR="00695EFB" w:rsidRPr="0023566D" w:rsidRDefault="00695EFB" w:rsidP="00695EFB">
      <w:pPr>
        <w:pStyle w:val="Level3paragraph"/>
        <w:numPr>
          <w:ilvl w:val="0"/>
          <w:numId w:val="0"/>
        </w:numPr>
        <w:ind w:left="1213"/>
      </w:pPr>
    </w:p>
    <w:p w14:paraId="23563927" w14:textId="77777777" w:rsidR="0000215C" w:rsidRPr="0023566D" w:rsidRDefault="0000215C" w:rsidP="005A2AFE">
      <w:pPr>
        <w:pStyle w:val="Gogglelist"/>
        <w:numPr>
          <w:ilvl w:val="0"/>
          <w:numId w:val="14"/>
        </w:numPr>
      </w:pPr>
      <w:r w:rsidRPr="0023566D">
        <w:t>Any individual piece of equipment, fixtures and fittings, or software costing more than £10,000</w:t>
      </w:r>
    </w:p>
    <w:p w14:paraId="3DDB5480" w14:textId="17EC428F" w:rsidR="0000215C" w:rsidRPr="000C0069" w:rsidRDefault="0000215C" w:rsidP="005A2AFE">
      <w:pPr>
        <w:pStyle w:val="Gogglelist"/>
        <w:numPr>
          <w:ilvl w:val="0"/>
          <w:numId w:val="14"/>
        </w:numPr>
      </w:pPr>
      <w:r w:rsidRPr="000C0069">
        <w:t>Land and buildi</w:t>
      </w:r>
      <w:r w:rsidR="007B3DAE" w:rsidRPr="000C0069">
        <w:t>ng projects costing more than £1</w:t>
      </w:r>
      <w:r w:rsidR="000C0069" w:rsidRPr="000C0069">
        <w:t>0,000.</w:t>
      </w:r>
    </w:p>
    <w:p w14:paraId="22458958" w14:textId="6B796518" w:rsidR="0000215C" w:rsidRDefault="00C04E2D" w:rsidP="00184763">
      <w:pPr>
        <w:pStyle w:val="Gogglelist"/>
        <w:ind w:left="1440" w:hanging="720"/>
      </w:pPr>
      <w:r>
        <w:t>1</w:t>
      </w:r>
      <w:r w:rsidR="00D2756F">
        <w:t>5</w:t>
      </w:r>
      <w:r>
        <w:t>.</w:t>
      </w:r>
      <w:r w:rsidR="0024681D">
        <w:t>8</w:t>
      </w:r>
      <w:r>
        <w:t>.2.</w:t>
      </w:r>
      <w:r>
        <w:tab/>
        <w:t>The definition is, however, subjective and it is possible that projects above these thresholds (primarily land and buildings) are not considered to be capital in nature but in</w:t>
      </w:r>
      <w:r w:rsidR="00F1382D">
        <w:t>stead are classified as revenue.  A key factor in deciding the nature of a project is usually whether the pro</w:t>
      </w:r>
      <w:r w:rsidR="00143F83">
        <w:t>ject provides increased value to the U</w:t>
      </w:r>
      <w:r w:rsidR="003652DD">
        <w:t>niversity</w:t>
      </w:r>
      <w:r w:rsidR="00143F83">
        <w:t xml:space="preserve"> rather than maintenance</w:t>
      </w:r>
      <w:r w:rsidR="003652DD">
        <w:t xml:space="preserve"> of value.  If there is any doubt regarding the classification of a project, the Finance Office should be contact</w:t>
      </w:r>
      <w:r w:rsidR="009C3807">
        <w:t>ed to assess.</w:t>
      </w:r>
    </w:p>
    <w:p w14:paraId="7DA9D0ED" w14:textId="7287B62F" w:rsidR="00FD2311" w:rsidRDefault="00583475" w:rsidP="00FB5F10">
      <w:pPr>
        <w:pStyle w:val="Gogglelist"/>
        <w:ind w:left="1440" w:hanging="720"/>
      </w:pPr>
      <w:r>
        <w:t>1</w:t>
      </w:r>
      <w:r w:rsidR="00D2756F">
        <w:t>5</w:t>
      </w:r>
      <w:r>
        <w:t>.</w:t>
      </w:r>
      <w:r w:rsidR="0024681D">
        <w:t>8</w:t>
      </w:r>
      <w:r>
        <w:t>.3.</w:t>
      </w:r>
      <w:r>
        <w:tab/>
        <w:t>Specific guidance on Capitalisation of Costs</w:t>
      </w:r>
      <w:r w:rsidR="000C0069">
        <w:t>.</w:t>
      </w:r>
    </w:p>
    <w:p w14:paraId="60B2BC73" w14:textId="7536D816" w:rsidR="0000215C" w:rsidRDefault="00766055" w:rsidP="00766055">
      <w:pPr>
        <w:pStyle w:val="Gogglelist"/>
        <w:ind w:left="1440" w:hanging="720"/>
      </w:pPr>
      <w:r>
        <w:t>1</w:t>
      </w:r>
      <w:r w:rsidR="00351F00">
        <w:t>5</w:t>
      </w:r>
      <w:r>
        <w:t>.</w:t>
      </w:r>
      <w:r w:rsidR="0024681D">
        <w:t>8</w:t>
      </w:r>
      <w:r>
        <w:t>.4.</w:t>
      </w:r>
      <w:r>
        <w:tab/>
        <w:t>The basis for the capitalisation cost of property, plant, and equipment is the cost on the date of the acquisition or at fair market or appraised value on the date of the donation in the case of gifts.</w:t>
      </w:r>
    </w:p>
    <w:p w14:paraId="12F56931" w14:textId="6F826BC6" w:rsidR="0000215C" w:rsidRDefault="004F2545" w:rsidP="008A58A4">
      <w:pPr>
        <w:pStyle w:val="Heading3"/>
        <w:numPr>
          <w:ilvl w:val="0"/>
          <w:numId w:val="0"/>
        </w:numPr>
        <w:ind w:left="716" w:hanging="432"/>
      </w:pPr>
      <w:r>
        <w:t>1</w:t>
      </w:r>
      <w:r w:rsidR="006A6769">
        <w:t>5</w:t>
      </w:r>
      <w:r>
        <w:t>.</w:t>
      </w:r>
      <w:r w:rsidR="00E45117">
        <w:t>9</w:t>
      </w:r>
      <w:r>
        <w:t>.</w:t>
      </w:r>
      <w:r w:rsidR="008A58A4">
        <w:t xml:space="preserve">  </w:t>
      </w:r>
      <w:r w:rsidR="0009603B" w:rsidRPr="0023566D">
        <w:t>Monitoring and Reporting</w:t>
      </w:r>
    </w:p>
    <w:p w14:paraId="4E3FCFFE" w14:textId="77777777" w:rsidR="0013609A" w:rsidRDefault="0013609A" w:rsidP="0013609A"/>
    <w:p w14:paraId="07279F7F" w14:textId="22F87638" w:rsidR="0013609A" w:rsidRDefault="0013609A" w:rsidP="0013609A">
      <w:pPr>
        <w:ind w:left="1440" w:hanging="720"/>
      </w:pPr>
      <w:r>
        <w:t>1</w:t>
      </w:r>
      <w:r w:rsidR="0019595A">
        <w:t>5</w:t>
      </w:r>
      <w:r>
        <w:t>.</w:t>
      </w:r>
      <w:r w:rsidR="00E45117">
        <w:t>9</w:t>
      </w:r>
      <w:r>
        <w:t>.1</w:t>
      </w:r>
      <w:r w:rsidR="00B95E41">
        <w:t>.</w:t>
      </w:r>
      <w:r>
        <w:tab/>
        <w:t>For each capital project, quarterly reporting will be undertaken by the Financial Planning and Analysis team.</w:t>
      </w:r>
    </w:p>
    <w:p w14:paraId="2F48E978" w14:textId="47B67156" w:rsidR="00B95E41" w:rsidRPr="0013609A" w:rsidRDefault="00B95E41" w:rsidP="0013609A">
      <w:pPr>
        <w:ind w:left="1440" w:hanging="720"/>
      </w:pPr>
      <w:r>
        <w:t>1</w:t>
      </w:r>
      <w:r w:rsidR="0019595A">
        <w:t>5</w:t>
      </w:r>
      <w:r>
        <w:t>.</w:t>
      </w:r>
      <w:r w:rsidR="00E45117">
        <w:t>9</w:t>
      </w:r>
      <w:r>
        <w:t>.2.</w:t>
      </w:r>
      <w:r>
        <w:tab/>
      </w:r>
      <w:r w:rsidR="00AC00D6">
        <w:t>Project spend will be reported indicating any variances to forecast and the authorised project budget.  If an adverse spend gr</w:t>
      </w:r>
      <w:r w:rsidR="00D3317E">
        <w:t>eater than 5</w:t>
      </w:r>
      <w:r w:rsidR="006A2CAF">
        <w:t>%</w:t>
      </w:r>
      <w:r w:rsidR="0091094C">
        <w:t xml:space="preserve"> of the total project cost is forecast, a suppl</w:t>
      </w:r>
      <w:r w:rsidR="00554623">
        <w:t>ementary CAF must be prepared and authorised.</w:t>
      </w:r>
    </w:p>
    <w:p w14:paraId="0006445D" w14:textId="257E5630" w:rsidR="0000215C" w:rsidRDefault="00554623" w:rsidP="001F5F9C">
      <w:pPr>
        <w:pStyle w:val="Level3paragraph"/>
        <w:numPr>
          <w:ilvl w:val="0"/>
          <w:numId w:val="0"/>
        </w:numPr>
        <w:ind w:left="1440" w:hanging="720"/>
      </w:pPr>
      <w:r>
        <w:t>1</w:t>
      </w:r>
      <w:r w:rsidR="0019595A">
        <w:t>5</w:t>
      </w:r>
      <w:r>
        <w:t>.</w:t>
      </w:r>
      <w:r w:rsidR="00E45117">
        <w:t>9</w:t>
      </w:r>
      <w:r>
        <w:t>.3.</w:t>
      </w:r>
      <w:r>
        <w:tab/>
      </w:r>
      <w:r w:rsidR="008E515C">
        <w:t>Total capital expenditure compared to annual budget and any changes to total forecast capital expenditure will also be reported on a quarterly basis</w:t>
      </w:r>
      <w:r w:rsidR="001F5F9C">
        <w:t>.</w:t>
      </w:r>
    </w:p>
    <w:p w14:paraId="714DA9C6" w14:textId="3F0B12A4" w:rsidR="00710B39" w:rsidRDefault="00710B39" w:rsidP="00710B39">
      <w:pPr>
        <w:pStyle w:val="Heading3"/>
        <w:numPr>
          <w:ilvl w:val="0"/>
          <w:numId w:val="0"/>
        </w:numPr>
        <w:ind w:left="716" w:hanging="432"/>
      </w:pPr>
      <w:r>
        <w:t>1</w:t>
      </w:r>
      <w:r w:rsidR="006A6769">
        <w:t>5</w:t>
      </w:r>
      <w:r>
        <w:t>.</w:t>
      </w:r>
      <w:r w:rsidR="00E45117">
        <w:t>10</w:t>
      </w:r>
      <w:r>
        <w:t>.  Depreciation</w:t>
      </w:r>
    </w:p>
    <w:p w14:paraId="21E36001" w14:textId="79EF627E" w:rsidR="001F5F9C" w:rsidRPr="001F5F9C" w:rsidRDefault="003F7459" w:rsidP="001F5F9C">
      <w:pPr>
        <w:pStyle w:val="Level3paragraph"/>
        <w:numPr>
          <w:ilvl w:val="0"/>
          <w:numId w:val="0"/>
        </w:numPr>
        <w:ind w:left="1440" w:hanging="720"/>
      </w:pPr>
      <w:r>
        <w:t>1</w:t>
      </w:r>
      <w:r w:rsidR="0019595A">
        <w:t>5</w:t>
      </w:r>
      <w:r>
        <w:t>.1</w:t>
      </w:r>
      <w:r w:rsidR="00E45117">
        <w:t>0</w:t>
      </w:r>
      <w:r>
        <w:t>.1.</w:t>
      </w:r>
      <w:r w:rsidR="009B6486">
        <w:tab/>
      </w:r>
      <w:r w:rsidR="00B4756E">
        <w:t xml:space="preserve">The depreciation charge is designed to reflect that through usage the value of an asset is reduced.  The University’s general </w:t>
      </w:r>
      <w:r w:rsidR="001F56F1">
        <w:t>accounting policies on depreciation are as follows:</w:t>
      </w:r>
    </w:p>
    <w:p w14:paraId="49A5308C" w14:textId="49832E2C" w:rsidR="0000215C" w:rsidRPr="0023566D" w:rsidRDefault="0000215C" w:rsidP="00F83653">
      <w:pPr>
        <w:pStyle w:val="Heading3"/>
        <w:numPr>
          <w:ilvl w:val="0"/>
          <w:numId w:val="0"/>
        </w:numPr>
      </w:pPr>
    </w:p>
    <w:p w14:paraId="614443AB" w14:textId="77777777" w:rsidR="0000215C" w:rsidRPr="0023566D" w:rsidRDefault="0000215C" w:rsidP="0000215C">
      <w:pPr>
        <w:pStyle w:val="Paragraph"/>
      </w:pPr>
    </w:p>
    <w:tbl>
      <w:tblPr>
        <w:tblStyle w:val="TableGrid"/>
        <w:tblW w:w="9356" w:type="dxa"/>
        <w:tblLook w:val="04A0" w:firstRow="1" w:lastRow="0" w:firstColumn="1" w:lastColumn="0" w:noHBand="0" w:noVBand="1"/>
      </w:tblPr>
      <w:tblGrid>
        <w:gridCol w:w="3119"/>
        <w:gridCol w:w="6237"/>
      </w:tblGrid>
      <w:tr w:rsidR="0000215C" w:rsidRPr="0023566D" w14:paraId="6CCC81D5" w14:textId="77777777" w:rsidTr="0000215C">
        <w:tc>
          <w:tcPr>
            <w:tcW w:w="3119" w:type="dxa"/>
            <w:tcBorders>
              <w:top w:val="nil"/>
              <w:left w:val="nil"/>
              <w:bottom w:val="single" w:sz="12" w:space="0" w:color="4F81BD" w:themeColor="accent1"/>
              <w:right w:val="nil"/>
            </w:tcBorders>
            <w:shd w:val="clear" w:color="auto" w:fill="auto"/>
          </w:tcPr>
          <w:p w14:paraId="12E4D276" w14:textId="77777777" w:rsidR="0000215C" w:rsidRPr="0023566D" w:rsidRDefault="0000215C" w:rsidP="0000215C">
            <w:pPr>
              <w:rPr>
                <w:b/>
              </w:rPr>
            </w:pPr>
            <w:r w:rsidRPr="0023566D">
              <w:rPr>
                <w:b/>
              </w:rPr>
              <w:t>Asset</w:t>
            </w:r>
          </w:p>
        </w:tc>
        <w:tc>
          <w:tcPr>
            <w:tcW w:w="6237" w:type="dxa"/>
            <w:tcBorders>
              <w:top w:val="nil"/>
              <w:left w:val="nil"/>
              <w:bottom w:val="single" w:sz="12" w:space="0" w:color="4F81BD" w:themeColor="accent1"/>
              <w:right w:val="nil"/>
            </w:tcBorders>
            <w:shd w:val="clear" w:color="auto" w:fill="auto"/>
          </w:tcPr>
          <w:p w14:paraId="6F6ABC73" w14:textId="77777777" w:rsidR="0000215C" w:rsidRPr="0023566D" w:rsidRDefault="0000215C" w:rsidP="0000215C">
            <w:pPr>
              <w:rPr>
                <w:b/>
              </w:rPr>
            </w:pPr>
            <w:r w:rsidRPr="0023566D">
              <w:rPr>
                <w:b/>
              </w:rPr>
              <w:t>Depreciation</w:t>
            </w:r>
          </w:p>
        </w:tc>
      </w:tr>
      <w:tr w:rsidR="0000215C" w:rsidRPr="0023566D" w14:paraId="782094B5" w14:textId="77777777" w:rsidTr="0000215C">
        <w:trPr>
          <w:trHeight w:val="397"/>
        </w:trPr>
        <w:tc>
          <w:tcPr>
            <w:tcW w:w="3119" w:type="dxa"/>
            <w:tcBorders>
              <w:top w:val="single" w:sz="12" w:space="0" w:color="4F81BD" w:themeColor="accent1"/>
              <w:left w:val="nil"/>
              <w:bottom w:val="nil"/>
              <w:right w:val="nil"/>
            </w:tcBorders>
          </w:tcPr>
          <w:p w14:paraId="7C9DC488" w14:textId="77777777" w:rsidR="0000215C" w:rsidRPr="0023566D" w:rsidRDefault="0000215C" w:rsidP="0000215C">
            <w:r w:rsidRPr="0023566D">
              <w:t>Freehold Land</w:t>
            </w:r>
          </w:p>
        </w:tc>
        <w:tc>
          <w:tcPr>
            <w:tcW w:w="6237" w:type="dxa"/>
            <w:tcBorders>
              <w:top w:val="single" w:sz="12" w:space="0" w:color="4F81BD" w:themeColor="accent1"/>
              <w:left w:val="nil"/>
              <w:bottom w:val="nil"/>
              <w:right w:val="nil"/>
            </w:tcBorders>
          </w:tcPr>
          <w:p w14:paraId="4B8994DC" w14:textId="77777777" w:rsidR="0000215C" w:rsidRPr="0023566D" w:rsidRDefault="0000215C" w:rsidP="0000215C">
            <w:pPr>
              <w:pStyle w:val="NoSpacing"/>
              <w:rPr>
                <w:lang w:val="en-GB"/>
              </w:rPr>
            </w:pPr>
            <w:r w:rsidRPr="0023566D">
              <w:rPr>
                <w:lang w:val="en-GB"/>
              </w:rPr>
              <w:t>Not depreciated</w:t>
            </w:r>
          </w:p>
        </w:tc>
      </w:tr>
      <w:tr w:rsidR="0000215C" w:rsidRPr="0023566D" w14:paraId="095D1D93" w14:textId="77777777" w:rsidTr="0000215C">
        <w:trPr>
          <w:trHeight w:val="397"/>
        </w:trPr>
        <w:tc>
          <w:tcPr>
            <w:tcW w:w="3119" w:type="dxa"/>
            <w:tcBorders>
              <w:top w:val="nil"/>
              <w:left w:val="nil"/>
              <w:bottom w:val="nil"/>
              <w:right w:val="nil"/>
            </w:tcBorders>
          </w:tcPr>
          <w:p w14:paraId="14F5ED53" w14:textId="77777777" w:rsidR="0000215C" w:rsidRPr="0023566D" w:rsidRDefault="0000215C" w:rsidP="0000215C">
            <w:r w:rsidRPr="0023566D">
              <w:t>Leasehold Land</w:t>
            </w:r>
          </w:p>
        </w:tc>
        <w:tc>
          <w:tcPr>
            <w:tcW w:w="6237" w:type="dxa"/>
            <w:tcBorders>
              <w:top w:val="nil"/>
              <w:left w:val="nil"/>
              <w:bottom w:val="nil"/>
              <w:right w:val="nil"/>
            </w:tcBorders>
          </w:tcPr>
          <w:p w14:paraId="399E4F83" w14:textId="77777777" w:rsidR="0000215C" w:rsidRPr="0023566D" w:rsidRDefault="0000215C" w:rsidP="0000215C">
            <w:pPr>
              <w:pStyle w:val="NoSpacing"/>
              <w:rPr>
                <w:lang w:val="en-GB"/>
              </w:rPr>
            </w:pPr>
            <w:r w:rsidRPr="0023566D">
              <w:rPr>
                <w:lang w:val="en-GB"/>
              </w:rPr>
              <w:t>Depreciated on straight line basis over the life of the lease</w:t>
            </w:r>
          </w:p>
        </w:tc>
      </w:tr>
      <w:tr w:rsidR="0000215C" w:rsidRPr="0023566D" w14:paraId="3C21F2BB" w14:textId="77777777" w:rsidTr="0000215C">
        <w:trPr>
          <w:trHeight w:val="397"/>
        </w:trPr>
        <w:tc>
          <w:tcPr>
            <w:tcW w:w="3119" w:type="dxa"/>
            <w:tcBorders>
              <w:top w:val="nil"/>
              <w:left w:val="nil"/>
              <w:bottom w:val="nil"/>
              <w:right w:val="nil"/>
            </w:tcBorders>
          </w:tcPr>
          <w:p w14:paraId="544440BB" w14:textId="77777777" w:rsidR="0000215C" w:rsidRPr="0023566D" w:rsidRDefault="0000215C" w:rsidP="0000215C">
            <w:r w:rsidRPr="0023566D">
              <w:t>Freehold buildings</w:t>
            </w:r>
          </w:p>
        </w:tc>
        <w:tc>
          <w:tcPr>
            <w:tcW w:w="6237" w:type="dxa"/>
            <w:tcBorders>
              <w:top w:val="nil"/>
              <w:left w:val="nil"/>
              <w:bottom w:val="nil"/>
              <w:right w:val="nil"/>
            </w:tcBorders>
          </w:tcPr>
          <w:p w14:paraId="597425D7" w14:textId="77777777" w:rsidR="0000215C" w:rsidRPr="0023566D" w:rsidRDefault="0000215C" w:rsidP="0000215C">
            <w:pPr>
              <w:pStyle w:val="NoSpacing"/>
              <w:rPr>
                <w:lang w:val="en-GB"/>
              </w:rPr>
            </w:pPr>
            <w:r w:rsidRPr="0023566D">
              <w:rPr>
                <w:lang w:val="en-GB"/>
              </w:rPr>
              <w:t xml:space="preserve">Depreciated on a </w:t>
            </w:r>
            <w:proofErr w:type="gramStart"/>
            <w:r w:rsidRPr="0023566D">
              <w:rPr>
                <w:lang w:val="en-GB"/>
              </w:rPr>
              <w:t>straight line</w:t>
            </w:r>
            <w:proofErr w:type="gramEnd"/>
            <w:r w:rsidRPr="0023566D">
              <w:rPr>
                <w:lang w:val="en-GB"/>
              </w:rPr>
              <w:t xml:space="preserve"> basis over their expected useful lives according to their constituent parts as follows: </w:t>
            </w:r>
          </w:p>
          <w:p w14:paraId="57DC9620" w14:textId="77777777" w:rsidR="0000215C" w:rsidRPr="0023566D" w:rsidRDefault="0000215C" w:rsidP="005A2AFE">
            <w:pPr>
              <w:pStyle w:val="NoSpacing"/>
              <w:widowControl/>
              <w:numPr>
                <w:ilvl w:val="0"/>
                <w:numId w:val="6"/>
              </w:numPr>
              <w:rPr>
                <w:lang w:val="en-GB"/>
              </w:rPr>
            </w:pPr>
            <w:r w:rsidRPr="0023566D">
              <w:rPr>
                <w:lang w:val="en-GB"/>
              </w:rPr>
              <w:t xml:space="preserve">Long term </w:t>
            </w:r>
            <w:proofErr w:type="gramStart"/>
            <w:r w:rsidRPr="0023566D">
              <w:rPr>
                <w:lang w:val="en-GB"/>
              </w:rPr>
              <w:t>e.g.</w:t>
            </w:r>
            <w:proofErr w:type="gramEnd"/>
            <w:r w:rsidRPr="0023566D">
              <w:rPr>
                <w:lang w:val="en-GB"/>
              </w:rPr>
              <w:t xml:space="preserve"> foundations &amp; structure 40 to 60 years </w:t>
            </w:r>
          </w:p>
          <w:p w14:paraId="44782E7B" w14:textId="77777777" w:rsidR="0000215C" w:rsidRPr="0023566D" w:rsidRDefault="0000215C" w:rsidP="005A2AFE">
            <w:pPr>
              <w:pStyle w:val="NoSpacing"/>
              <w:widowControl/>
              <w:numPr>
                <w:ilvl w:val="0"/>
                <w:numId w:val="6"/>
              </w:numPr>
              <w:rPr>
                <w:lang w:val="en-GB"/>
              </w:rPr>
            </w:pPr>
            <w:r w:rsidRPr="0023566D">
              <w:rPr>
                <w:lang w:val="en-GB"/>
              </w:rPr>
              <w:t xml:space="preserve">Medium Term </w:t>
            </w:r>
            <w:proofErr w:type="gramStart"/>
            <w:r w:rsidRPr="0023566D">
              <w:rPr>
                <w:lang w:val="en-GB"/>
              </w:rPr>
              <w:t>e.g.</w:t>
            </w:r>
            <w:proofErr w:type="gramEnd"/>
            <w:r w:rsidRPr="0023566D">
              <w:rPr>
                <w:lang w:val="en-GB"/>
              </w:rPr>
              <w:t xml:space="preserve"> services 10 to 30 years </w:t>
            </w:r>
          </w:p>
          <w:p w14:paraId="519BEAE4" w14:textId="77777777" w:rsidR="0000215C" w:rsidRPr="0023566D" w:rsidRDefault="0000215C" w:rsidP="005A2AFE">
            <w:pPr>
              <w:pStyle w:val="NoSpacing"/>
              <w:widowControl/>
              <w:numPr>
                <w:ilvl w:val="0"/>
                <w:numId w:val="6"/>
              </w:numPr>
              <w:rPr>
                <w:lang w:val="en-GB"/>
              </w:rPr>
            </w:pPr>
            <w:r w:rsidRPr="0023566D">
              <w:rPr>
                <w:lang w:val="en-GB"/>
              </w:rPr>
              <w:t xml:space="preserve">Short Term </w:t>
            </w:r>
            <w:proofErr w:type="gramStart"/>
            <w:r w:rsidRPr="0023566D">
              <w:rPr>
                <w:lang w:val="en-GB"/>
              </w:rPr>
              <w:t>e.g.</w:t>
            </w:r>
            <w:proofErr w:type="gramEnd"/>
            <w:r w:rsidRPr="0023566D">
              <w:rPr>
                <w:lang w:val="en-GB"/>
              </w:rPr>
              <w:t xml:space="preserve"> internal fittings 5 to 10 years </w:t>
            </w:r>
          </w:p>
          <w:p w14:paraId="658F0E3C" w14:textId="77777777" w:rsidR="0000215C" w:rsidRPr="0023566D" w:rsidRDefault="0000215C" w:rsidP="0000215C">
            <w:pPr>
              <w:pStyle w:val="NoSpacing"/>
              <w:ind w:left="720"/>
              <w:rPr>
                <w:lang w:val="en-GB"/>
              </w:rPr>
            </w:pPr>
          </w:p>
        </w:tc>
      </w:tr>
      <w:tr w:rsidR="0000215C" w:rsidRPr="0023566D" w14:paraId="6F3FFABB" w14:textId="77777777" w:rsidTr="0000215C">
        <w:tc>
          <w:tcPr>
            <w:tcW w:w="3119" w:type="dxa"/>
            <w:tcBorders>
              <w:top w:val="nil"/>
              <w:left w:val="nil"/>
              <w:bottom w:val="nil"/>
              <w:right w:val="nil"/>
            </w:tcBorders>
          </w:tcPr>
          <w:p w14:paraId="7D69CF17" w14:textId="77777777" w:rsidR="0000215C" w:rsidRPr="0023566D" w:rsidRDefault="0000215C" w:rsidP="0000215C">
            <w:r w:rsidRPr="0023566D">
              <w:t>Equipment (</w:t>
            </w:r>
            <w:proofErr w:type="gramStart"/>
            <w:r w:rsidRPr="0023566D">
              <w:t>Non Research</w:t>
            </w:r>
            <w:proofErr w:type="gramEnd"/>
            <w:r w:rsidRPr="0023566D">
              <w:t>)</w:t>
            </w:r>
          </w:p>
        </w:tc>
        <w:tc>
          <w:tcPr>
            <w:tcW w:w="6237" w:type="dxa"/>
            <w:tcBorders>
              <w:top w:val="nil"/>
              <w:left w:val="nil"/>
              <w:bottom w:val="nil"/>
              <w:right w:val="nil"/>
            </w:tcBorders>
          </w:tcPr>
          <w:p w14:paraId="5F3A996B" w14:textId="77777777" w:rsidR="0000215C" w:rsidRPr="0023566D" w:rsidRDefault="0000215C" w:rsidP="0000215C">
            <w:pPr>
              <w:pStyle w:val="NoSpacing"/>
              <w:rPr>
                <w:lang w:val="en-GB"/>
              </w:rPr>
            </w:pPr>
            <w:r w:rsidRPr="0023566D">
              <w:rPr>
                <w:lang w:val="en-GB"/>
              </w:rPr>
              <w:t xml:space="preserve">Depreciated on a </w:t>
            </w:r>
            <w:proofErr w:type="gramStart"/>
            <w:r w:rsidRPr="0023566D">
              <w:rPr>
                <w:lang w:val="en-GB"/>
              </w:rPr>
              <w:t>straight line</w:t>
            </w:r>
            <w:proofErr w:type="gramEnd"/>
            <w:r w:rsidRPr="0023566D">
              <w:rPr>
                <w:lang w:val="en-GB"/>
              </w:rPr>
              <w:t xml:space="preserve"> basis over its expected useful life</w:t>
            </w:r>
            <w:r>
              <w:rPr>
                <w:lang w:val="en-GB"/>
              </w:rPr>
              <w:t xml:space="preserve"> (generally</w:t>
            </w:r>
            <w:r w:rsidRPr="0023566D">
              <w:rPr>
                <w:lang w:val="en-GB"/>
              </w:rPr>
              <w:t xml:space="preserve"> five years</w:t>
            </w:r>
            <w:r>
              <w:rPr>
                <w:lang w:val="en-GB"/>
              </w:rPr>
              <w:t>)</w:t>
            </w:r>
          </w:p>
          <w:p w14:paraId="661C85A5" w14:textId="77777777" w:rsidR="0000215C" w:rsidRPr="0023566D" w:rsidRDefault="0000215C" w:rsidP="0000215C">
            <w:pPr>
              <w:pStyle w:val="NoSpacing"/>
              <w:rPr>
                <w:lang w:val="en-GB"/>
              </w:rPr>
            </w:pPr>
          </w:p>
        </w:tc>
      </w:tr>
      <w:tr w:rsidR="0000215C" w:rsidRPr="0023566D" w14:paraId="245B9ECA" w14:textId="77777777" w:rsidTr="0000215C">
        <w:tc>
          <w:tcPr>
            <w:tcW w:w="3119" w:type="dxa"/>
            <w:tcBorders>
              <w:top w:val="nil"/>
              <w:left w:val="nil"/>
              <w:bottom w:val="nil"/>
              <w:right w:val="nil"/>
            </w:tcBorders>
          </w:tcPr>
          <w:p w14:paraId="0482D871" w14:textId="28259127" w:rsidR="0000215C" w:rsidRPr="0023566D" w:rsidRDefault="0000215C" w:rsidP="00FA362E">
            <w:pPr>
              <w:pStyle w:val="Level3paragraph"/>
              <w:numPr>
                <w:ilvl w:val="0"/>
                <w:numId w:val="0"/>
              </w:numPr>
              <w:ind w:left="1440" w:hanging="720"/>
            </w:pPr>
          </w:p>
        </w:tc>
        <w:tc>
          <w:tcPr>
            <w:tcW w:w="6237" w:type="dxa"/>
            <w:tcBorders>
              <w:top w:val="nil"/>
              <w:left w:val="nil"/>
              <w:bottom w:val="nil"/>
              <w:right w:val="nil"/>
            </w:tcBorders>
          </w:tcPr>
          <w:p w14:paraId="2AB607F2" w14:textId="7A37F8A8" w:rsidR="00275D47" w:rsidRPr="0023566D" w:rsidRDefault="0000215C" w:rsidP="0000215C">
            <w:pPr>
              <w:pStyle w:val="NoSpacing"/>
              <w:rPr>
                <w:lang w:val="en-GB"/>
              </w:rPr>
            </w:pPr>
            <w:r w:rsidRPr="0023566D">
              <w:rPr>
                <w:lang w:val="en-GB"/>
              </w:rPr>
              <w:t xml:space="preserve">Depreciated on a </w:t>
            </w:r>
            <w:proofErr w:type="gramStart"/>
            <w:r w:rsidRPr="0023566D">
              <w:rPr>
                <w:lang w:val="en-GB"/>
              </w:rPr>
              <w:t>straight line</w:t>
            </w:r>
            <w:proofErr w:type="gramEnd"/>
            <w:r w:rsidRPr="0023566D">
              <w:rPr>
                <w:lang w:val="en-GB"/>
              </w:rPr>
              <w:t xml:space="preserve"> basis over the life of the project (generally three years)</w:t>
            </w:r>
            <w:r w:rsidR="00DA6ACB">
              <w:rPr>
                <w:lang w:val="en-GB"/>
              </w:rPr>
              <w:t>.</w:t>
            </w:r>
          </w:p>
        </w:tc>
      </w:tr>
      <w:tr w:rsidR="0000215C" w:rsidRPr="0023566D" w14:paraId="143BA468" w14:textId="77777777" w:rsidTr="0000215C">
        <w:tc>
          <w:tcPr>
            <w:tcW w:w="3119" w:type="dxa"/>
            <w:tcBorders>
              <w:top w:val="nil"/>
              <w:left w:val="nil"/>
              <w:bottom w:val="nil"/>
              <w:right w:val="nil"/>
            </w:tcBorders>
          </w:tcPr>
          <w:p w14:paraId="69E776FC" w14:textId="77777777" w:rsidR="0000215C" w:rsidRPr="0023566D" w:rsidRDefault="0000215C" w:rsidP="0000215C"/>
        </w:tc>
        <w:tc>
          <w:tcPr>
            <w:tcW w:w="6237" w:type="dxa"/>
            <w:tcBorders>
              <w:top w:val="nil"/>
              <w:left w:val="nil"/>
              <w:bottom w:val="nil"/>
              <w:right w:val="nil"/>
            </w:tcBorders>
          </w:tcPr>
          <w:p w14:paraId="73F391CC" w14:textId="77777777" w:rsidR="00DA6ACB" w:rsidRDefault="00DA6ACB" w:rsidP="0000215C"/>
          <w:p w14:paraId="6FCC85F3" w14:textId="504B4DC6" w:rsidR="00DA6ACB" w:rsidRPr="0023566D" w:rsidRDefault="00DA6ACB" w:rsidP="0000215C"/>
        </w:tc>
      </w:tr>
    </w:tbl>
    <w:p w14:paraId="227A7F58" w14:textId="74F5F30F" w:rsidR="0000215C" w:rsidRDefault="0000215C" w:rsidP="00506B86">
      <w:pPr>
        <w:pStyle w:val="Level3paragraph"/>
        <w:numPr>
          <w:ilvl w:val="0"/>
          <w:numId w:val="0"/>
        </w:numPr>
      </w:pPr>
    </w:p>
    <w:p w14:paraId="7C7296C6" w14:textId="452DB227" w:rsidR="00DA6ACB" w:rsidRDefault="00DA6ACB" w:rsidP="00506B86">
      <w:pPr>
        <w:pStyle w:val="Heading3"/>
        <w:numPr>
          <w:ilvl w:val="0"/>
          <w:numId w:val="0"/>
        </w:numPr>
        <w:ind w:left="1436" w:hanging="720"/>
        <w:jc w:val="both"/>
        <w:rPr>
          <w:b w:val="0"/>
          <w:bCs w:val="0"/>
          <w:color w:val="auto"/>
        </w:rPr>
      </w:pPr>
      <w:r w:rsidRPr="00DA6ACB">
        <w:rPr>
          <w:b w:val="0"/>
          <w:bCs w:val="0"/>
          <w:color w:val="auto"/>
        </w:rPr>
        <w:t>15.1</w:t>
      </w:r>
      <w:r w:rsidR="00E45117">
        <w:rPr>
          <w:b w:val="0"/>
          <w:bCs w:val="0"/>
          <w:color w:val="auto"/>
        </w:rPr>
        <w:t>0</w:t>
      </w:r>
      <w:r w:rsidRPr="00DA6ACB">
        <w:rPr>
          <w:b w:val="0"/>
          <w:bCs w:val="0"/>
          <w:color w:val="auto"/>
        </w:rPr>
        <w:t>.2</w:t>
      </w:r>
      <w:r>
        <w:rPr>
          <w:b w:val="0"/>
          <w:bCs w:val="0"/>
          <w:color w:val="auto"/>
        </w:rPr>
        <w:tab/>
        <w:t>Depreciation is calculated monthly, commencing the month after the construction is completed and brought into use.</w:t>
      </w:r>
    </w:p>
    <w:p w14:paraId="3142814C" w14:textId="5F671188" w:rsidR="00DA6ACB" w:rsidRDefault="00DA6ACB" w:rsidP="00DA6ACB"/>
    <w:p w14:paraId="54E00A64" w14:textId="14B67192" w:rsidR="00DA6ACB" w:rsidRDefault="00DA6ACB" w:rsidP="00DA6ACB">
      <w:r>
        <w:tab/>
        <w:t>15.1</w:t>
      </w:r>
      <w:r w:rsidR="00E45117">
        <w:t>0</w:t>
      </w:r>
      <w:r>
        <w:t>.3</w:t>
      </w:r>
      <w:r>
        <w:tab/>
        <w:t>How is the depreciation funded</w:t>
      </w:r>
    </w:p>
    <w:p w14:paraId="52BF2226" w14:textId="696061CF" w:rsidR="00DA6ACB" w:rsidRDefault="00DA6ACB" w:rsidP="00506B86">
      <w:pPr>
        <w:ind w:left="1440"/>
        <w:jc w:val="both"/>
      </w:pPr>
      <w:r>
        <w:t>Equipment – depreciation posted to the work order attached to the invoice when originally entered on to code 6130 unless otherwise specified by the financial planning and analysis accountant for the department.</w:t>
      </w:r>
    </w:p>
    <w:p w14:paraId="31951FF0" w14:textId="52047903" w:rsidR="00DA6ACB" w:rsidRDefault="00DA6ACB" w:rsidP="00506B86">
      <w:pPr>
        <w:ind w:left="1440"/>
        <w:jc w:val="both"/>
      </w:pPr>
      <w:r>
        <w:t xml:space="preserve">Land and Buildings – work to the main academic campus is charged to Estates.  Works for specific use </w:t>
      </w:r>
      <w:proofErr w:type="gramStart"/>
      <w:r>
        <w:t>i.e.</w:t>
      </w:r>
      <w:proofErr w:type="gramEnd"/>
      <w:r>
        <w:t xml:space="preserve"> dance rooms to Arts Centre, </w:t>
      </w:r>
      <w:proofErr w:type="spellStart"/>
      <w:r>
        <w:t>astro</w:t>
      </w:r>
      <w:proofErr w:type="spellEnd"/>
      <w:r>
        <w:t xml:space="preserve"> turf pitch to Sports Centre may be charged directly to that department benefiting from that work, particularly if that department receives regular consideration in exchange for its use.</w:t>
      </w:r>
    </w:p>
    <w:p w14:paraId="10A34095" w14:textId="7BF7FBA5" w:rsidR="002B08F8" w:rsidRDefault="002B08F8" w:rsidP="00506B86">
      <w:pPr>
        <w:ind w:left="1440" w:hanging="720"/>
        <w:jc w:val="both"/>
      </w:pPr>
      <w:r>
        <w:t>15.1</w:t>
      </w:r>
      <w:r w:rsidR="00356430">
        <w:t>0</w:t>
      </w:r>
      <w:r>
        <w:t>.4</w:t>
      </w:r>
      <w:r>
        <w:tab/>
        <w:t>The Director of Estates, Facilities and Residences will review the University land use and buildings for indicators of impairment on an annual basis at the year end.</w:t>
      </w:r>
    </w:p>
    <w:p w14:paraId="4F2DCCD6" w14:textId="717E9990" w:rsidR="002B08F8" w:rsidRDefault="002B08F8" w:rsidP="00506B86">
      <w:pPr>
        <w:ind w:left="1440" w:hanging="720"/>
        <w:jc w:val="both"/>
      </w:pPr>
      <w:r>
        <w:t>15.1</w:t>
      </w:r>
      <w:r w:rsidR="00356430">
        <w:t>0</w:t>
      </w:r>
      <w:r>
        <w:t>.5</w:t>
      </w:r>
      <w:r>
        <w:tab/>
        <w:t>If the University capitalises any expenditure on existing buildings, it undertakes a review of the carrying value and the useful life of the building to ensure this is still appropriate.</w:t>
      </w:r>
    </w:p>
    <w:p w14:paraId="55631FBB" w14:textId="39BAA9B7" w:rsidR="002B08F8" w:rsidRPr="00DA6ACB" w:rsidRDefault="002B08F8" w:rsidP="00506B86">
      <w:pPr>
        <w:ind w:left="1440" w:hanging="720"/>
        <w:jc w:val="both"/>
      </w:pPr>
      <w:r>
        <w:t>15.1</w:t>
      </w:r>
      <w:r w:rsidR="00813DF6">
        <w:t>0</w:t>
      </w:r>
      <w:r>
        <w:t>.6</w:t>
      </w:r>
      <w:r>
        <w:tab/>
        <w:t>Depreciation is calculated monthly, commencing the month after the construction is completed and brought into use.</w:t>
      </w:r>
    </w:p>
    <w:p w14:paraId="32002698" w14:textId="29EB7790" w:rsidR="000905EF" w:rsidRDefault="000905EF" w:rsidP="00697FD9">
      <w:pPr>
        <w:pStyle w:val="Heading3"/>
        <w:numPr>
          <w:ilvl w:val="0"/>
          <w:numId w:val="0"/>
        </w:numPr>
        <w:ind w:left="716" w:hanging="432"/>
      </w:pPr>
      <w:r>
        <w:t>15.1</w:t>
      </w:r>
      <w:r w:rsidR="00813DF6">
        <w:t>1</w:t>
      </w:r>
      <w:r>
        <w:t>.</w:t>
      </w:r>
      <w:r>
        <w:tab/>
        <w:t>Revaluation and Impairment</w:t>
      </w:r>
    </w:p>
    <w:p w14:paraId="46F4C7AB" w14:textId="77777777" w:rsidR="00697FD9" w:rsidRPr="00697FD9" w:rsidRDefault="00697FD9" w:rsidP="00697FD9"/>
    <w:p w14:paraId="2D0267AE" w14:textId="2AAEF9F9" w:rsidR="00506B86" w:rsidRPr="00173CBC" w:rsidRDefault="00FC3EBB" w:rsidP="00042AC7">
      <w:pPr>
        <w:ind w:left="1440" w:hanging="720"/>
        <w:jc w:val="both"/>
      </w:pPr>
      <w:r>
        <w:t>15.1</w:t>
      </w:r>
      <w:r w:rsidR="00813DF6">
        <w:t>1</w:t>
      </w:r>
      <w:r>
        <w:t>.</w:t>
      </w:r>
      <w:r w:rsidR="00D406AD">
        <w:t>1.</w:t>
      </w:r>
      <w:r w:rsidR="00D406AD">
        <w:tab/>
        <w:t>The University has adopted a transitional arrangement policy on transition to FRS102.</w:t>
      </w:r>
      <w:r w:rsidR="00142CF0">
        <w:t xml:space="preserve">  The University’s freehold property excluding Residences</w:t>
      </w:r>
      <w:r w:rsidR="009D2C2B">
        <w:t xml:space="preserve"> and other trading related buildings, were revalued as </w:t>
      </w:r>
      <w:proofErr w:type="gramStart"/>
      <w:r w:rsidR="009D2C2B">
        <w:t>at</w:t>
      </w:r>
      <w:proofErr w:type="gramEnd"/>
      <w:r w:rsidR="009D2C2B">
        <w:t xml:space="preserve"> 31 July 2014 on a one-off basis.  These assets are carried at the 2014 valuation.</w:t>
      </w:r>
    </w:p>
    <w:p w14:paraId="50740E03" w14:textId="3EBD557D" w:rsidR="0000215C" w:rsidRDefault="0000215C" w:rsidP="00813DF6">
      <w:pPr>
        <w:pStyle w:val="Heading3"/>
        <w:numPr>
          <w:ilvl w:val="1"/>
          <w:numId w:val="32"/>
        </w:numPr>
      </w:pPr>
      <w:r w:rsidRPr="0023566D">
        <w:t>Ongoing Maintenance</w:t>
      </w:r>
    </w:p>
    <w:p w14:paraId="0085641F" w14:textId="185EA639" w:rsidR="00042AC7" w:rsidRDefault="00042AC7" w:rsidP="00042AC7"/>
    <w:p w14:paraId="0F4A6807" w14:textId="1F425E09" w:rsidR="0000215C" w:rsidRDefault="00042AC7" w:rsidP="00042AC7">
      <w:pPr>
        <w:ind w:left="1435" w:hanging="720"/>
      </w:pPr>
      <w:r>
        <w:t>15.1</w:t>
      </w:r>
      <w:r w:rsidR="00813DF6">
        <w:t>2</w:t>
      </w:r>
      <w:r>
        <w:t>.1.</w:t>
      </w:r>
      <w:r>
        <w:tab/>
        <w:t>Departments are responsible for meeting the ongoing repairs and maintenance costs of equipment that are under their control from their annual budgets.</w:t>
      </w:r>
    </w:p>
    <w:p w14:paraId="34858D57" w14:textId="0A693601" w:rsidR="0000215C" w:rsidRPr="00705910" w:rsidRDefault="00042AC7" w:rsidP="007C0F22">
      <w:pPr>
        <w:ind w:left="1435" w:hanging="720"/>
      </w:pPr>
      <w:r>
        <w:t>15.1</w:t>
      </w:r>
      <w:r w:rsidR="00813DF6">
        <w:t>2</w:t>
      </w:r>
      <w:r>
        <w:t>.2.</w:t>
      </w:r>
      <w:r>
        <w:tab/>
        <w:t>The Estates Department is responsible for arranging and delivering the ongoing planned maintenance and reactive maintenance of the University estate.</w:t>
      </w:r>
    </w:p>
    <w:p w14:paraId="028C104F" w14:textId="1F05C57E" w:rsidR="0000215C" w:rsidRDefault="0000215C" w:rsidP="0000215C">
      <w:pPr>
        <w:pStyle w:val="Heading3"/>
      </w:pPr>
      <w:r w:rsidRPr="0023566D">
        <w:t xml:space="preserve">Responsibilities </w:t>
      </w:r>
    </w:p>
    <w:p w14:paraId="3B7645DF" w14:textId="43634059" w:rsidR="00042AC7" w:rsidRDefault="00042AC7" w:rsidP="00042AC7"/>
    <w:p w14:paraId="525A6809" w14:textId="4E3DA3AC" w:rsidR="0000215C" w:rsidRPr="00042AC7" w:rsidRDefault="00042AC7" w:rsidP="00042AC7">
      <w:pPr>
        <w:ind w:left="715"/>
      </w:pPr>
      <w:r>
        <w:t>15.1</w:t>
      </w:r>
      <w:r w:rsidR="007C0F22">
        <w:t>3</w:t>
      </w:r>
      <w:r>
        <w:t>.1.</w:t>
      </w:r>
      <w:r>
        <w:tab/>
        <w:t>Responsibilities of Departments</w:t>
      </w:r>
    </w:p>
    <w:p w14:paraId="1C628192" w14:textId="77777777" w:rsidR="005716BA" w:rsidRPr="005716BA" w:rsidRDefault="005716BA" w:rsidP="005716BA"/>
    <w:p w14:paraId="71560A18" w14:textId="77777777" w:rsidR="007B7C01" w:rsidRDefault="0000215C" w:rsidP="0000215C">
      <w:pPr>
        <w:pStyle w:val="Gogglelist"/>
        <w:ind w:hanging="360"/>
      </w:pPr>
      <w:r>
        <w:t>The Principle Investigator or project manager (or Head of Department if neither has bee</w:t>
      </w:r>
      <w:r w:rsidR="007B7C01">
        <w:t xml:space="preserve">n appointed) </w:t>
      </w:r>
      <w:proofErr w:type="gramStart"/>
      <w:r w:rsidR="007B7C01">
        <w:t>must:-</w:t>
      </w:r>
      <w:proofErr w:type="gramEnd"/>
    </w:p>
    <w:p w14:paraId="0CCE2FFC" w14:textId="57C25C06" w:rsidR="0000215C" w:rsidRDefault="007B7C01" w:rsidP="005A2AFE">
      <w:pPr>
        <w:pStyle w:val="Gogglelist"/>
        <w:numPr>
          <w:ilvl w:val="0"/>
          <w:numId w:val="15"/>
        </w:numPr>
      </w:pPr>
      <w:r>
        <w:t>ensure</w:t>
      </w:r>
      <w:r w:rsidR="0000215C">
        <w:t xml:space="preserve"> that appropriate approvals are in place, before committing the University to any spend on fixed assets</w:t>
      </w:r>
      <w:r w:rsidR="000C0069">
        <w:t>.</w:t>
      </w:r>
    </w:p>
    <w:p w14:paraId="5D13945C" w14:textId="77777777" w:rsidR="0000215C" w:rsidRPr="0023566D" w:rsidRDefault="0000215C" w:rsidP="005A2AFE">
      <w:pPr>
        <w:pStyle w:val="Gogglelist"/>
        <w:numPr>
          <w:ilvl w:val="0"/>
          <w:numId w:val="15"/>
        </w:numPr>
      </w:pPr>
      <w:r w:rsidRPr="0023566D">
        <w:t xml:space="preserve">Tag all assets with the </w:t>
      </w:r>
      <w:r>
        <w:t>Fixed Asset Register number provided by the Financial Account</w:t>
      </w:r>
      <w:r w:rsidR="007B7C01">
        <w:t>ing</w:t>
      </w:r>
      <w:r>
        <w:t xml:space="preserve"> team</w:t>
      </w:r>
    </w:p>
    <w:p w14:paraId="532F8801" w14:textId="77777777" w:rsidR="0000215C" w:rsidRPr="0023566D" w:rsidRDefault="0000215C" w:rsidP="005A2AFE">
      <w:pPr>
        <w:pStyle w:val="Gogglelist"/>
        <w:numPr>
          <w:ilvl w:val="0"/>
          <w:numId w:val="15"/>
        </w:numPr>
      </w:pPr>
      <w:r>
        <w:t xml:space="preserve">Assist in keeping the Fixed Asset Register </w:t>
      </w:r>
      <w:r w:rsidRPr="0023566D">
        <w:t xml:space="preserve">system </w:t>
      </w:r>
      <w:r>
        <w:t>up to date by informing the Financial Accounting team of any</w:t>
      </w:r>
      <w:r w:rsidRPr="0023566D">
        <w:t xml:space="preserve"> movement of assets – room location, owner, obsolete etc. </w:t>
      </w:r>
    </w:p>
    <w:p w14:paraId="61816E7F" w14:textId="77777777" w:rsidR="0000215C" w:rsidRPr="0023566D" w:rsidRDefault="0000215C" w:rsidP="005A2AFE">
      <w:pPr>
        <w:pStyle w:val="Gogglelist"/>
        <w:numPr>
          <w:ilvl w:val="0"/>
          <w:numId w:val="15"/>
        </w:numPr>
      </w:pPr>
      <w:r w:rsidRPr="0023566D">
        <w:t>Carry out an annua</w:t>
      </w:r>
      <w:r>
        <w:t>l physical inspection of assets.</w:t>
      </w:r>
    </w:p>
    <w:p w14:paraId="3D78D9B3" w14:textId="77777777" w:rsidR="0000215C" w:rsidRPr="0023566D" w:rsidRDefault="0000215C" w:rsidP="005A2AFE">
      <w:pPr>
        <w:pStyle w:val="Gogglelist"/>
        <w:numPr>
          <w:ilvl w:val="0"/>
          <w:numId w:val="15"/>
        </w:numPr>
      </w:pPr>
      <w:r w:rsidRPr="0023566D">
        <w:t>Assist Finance in random physical inspection of assets</w:t>
      </w:r>
      <w:r>
        <w:t>.</w:t>
      </w:r>
      <w:r w:rsidRPr="0023566D">
        <w:t xml:space="preserve"> </w:t>
      </w:r>
    </w:p>
    <w:p w14:paraId="60448084" w14:textId="77777777" w:rsidR="0000215C" w:rsidRPr="0023566D" w:rsidRDefault="0000215C" w:rsidP="005A2AFE">
      <w:pPr>
        <w:pStyle w:val="Gogglelist"/>
        <w:numPr>
          <w:ilvl w:val="0"/>
          <w:numId w:val="15"/>
        </w:numPr>
        <w:rPr>
          <w:rFonts w:ascii="Times New Roman" w:hAnsi="Times New Roman"/>
          <w:sz w:val="24"/>
          <w:szCs w:val="24"/>
        </w:rPr>
      </w:pPr>
      <w:r w:rsidRPr="0023566D">
        <w:t>Ensure asset disposal procedures are followed</w:t>
      </w:r>
      <w:r>
        <w:t>.</w:t>
      </w:r>
      <w:r w:rsidRPr="0023566D">
        <w:t xml:space="preserve"> </w:t>
      </w:r>
    </w:p>
    <w:p w14:paraId="3F0335A6" w14:textId="77777777" w:rsidR="0000215C" w:rsidRPr="0023566D" w:rsidRDefault="0000215C" w:rsidP="005A2AFE">
      <w:pPr>
        <w:pStyle w:val="Gogglelist"/>
        <w:numPr>
          <w:ilvl w:val="0"/>
          <w:numId w:val="15"/>
        </w:numPr>
        <w:rPr>
          <w:rFonts w:ascii="Times New Roman" w:hAnsi="Times New Roman"/>
          <w:sz w:val="24"/>
          <w:szCs w:val="24"/>
        </w:rPr>
      </w:pPr>
      <w:r w:rsidRPr="0023566D">
        <w:t>Record asset transfer forms</w:t>
      </w:r>
      <w:r>
        <w:t>.</w:t>
      </w:r>
      <w:r w:rsidRPr="0023566D">
        <w:t xml:space="preserve"> </w:t>
      </w:r>
    </w:p>
    <w:p w14:paraId="792DF825" w14:textId="77777777" w:rsidR="0000215C" w:rsidRPr="0023566D" w:rsidRDefault="0000215C" w:rsidP="005A2AFE">
      <w:pPr>
        <w:pStyle w:val="Gogglelist"/>
        <w:numPr>
          <w:ilvl w:val="0"/>
          <w:numId w:val="15"/>
        </w:numPr>
        <w:rPr>
          <w:b/>
        </w:rPr>
      </w:pPr>
      <w:r w:rsidRPr="0023566D">
        <w:t>Ensure any removal of equipment by staff follow procedures</w:t>
      </w:r>
      <w:r>
        <w:t>.</w:t>
      </w:r>
      <w:r w:rsidRPr="0023566D">
        <w:rPr>
          <w:b/>
        </w:rPr>
        <w:t xml:space="preserve"> </w:t>
      </w:r>
    </w:p>
    <w:p w14:paraId="73959149" w14:textId="6313A707" w:rsidR="0000215C" w:rsidRDefault="0000215C" w:rsidP="0000215C">
      <w:pPr>
        <w:pStyle w:val="Gogglelist"/>
        <w:ind w:hanging="360"/>
      </w:pPr>
      <w:r w:rsidRPr="0023566D">
        <w:t>For capital projects spanning two or more financial years, the Project Manager will be responsible for identifying the</w:t>
      </w:r>
      <w:r w:rsidR="00042AC7">
        <w:t xml:space="preserve"> </w:t>
      </w:r>
      <w:r w:rsidRPr="0023566D">
        <w:t>profiling of all costs across each of the financial years in question.</w:t>
      </w:r>
    </w:p>
    <w:p w14:paraId="4BF38273" w14:textId="6596A3D0" w:rsidR="00C97AA8" w:rsidRPr="00D03806" w:rsidRDefault="00042AC7" w:rsidP="00D03806">
      <w:pPr>
        <w:pStyle w:val="Gogglelist"/>
      </w:pPr>
      <w:r>
        <w:tab/>
        <w:t>15.1</w:t>
      </w:r>
      <w:r w:rsidR="007C0F22">
        <w:t>3</w:t>
      </w:r>
      <w:r>
        <w:t>.</w:t>
      </w:r>
      <w:r w:rsidR="007C0F22">
        <w:t>2</w:t>
      </w:r>
      <w:r>
        <w:t>.</w:t>
      </w:r>
      <w:r>
        <w:tab/>
        <w:t>Responsibilities of Finance</w:t>
      </w:r>
    </w:p>
    <w:p w14:paraId="57E04307" w14:textId="77777777" w:rsidR="00C97AA8" w:rsidRPr="00C97AA8" w:rsidRDefault="00C97AA8" w:rsidP="00D03806">
      <w:pPr>
        <w:pStyle w:val="ListParagraph"/>
        <w:numPr>
          <w:ilvl w:val="0"/>
          <w:numId w:val="17"/>
        </w:numPr>
        <w:jc w:val="both"/>
      </w:pPr>
      <w:r>
        <w:t>Assess all Business Cases and / or Capital Approval Forms in terms of cash availability (even if previously approved in a Capital Budget). Procurement and VAT implications of any proposal must also be assessed prior to final approval.</w:t>
      </w:r>
    </w:p>
    <w:p w14:paraId="517847CC" w14:textId="77777777" w:rsidR="0000215C" w:rsidRPr="0023566D" w:rsidRDefault="0000215C" w:rsidP="00D03806">
      <w:pPr>
        <w:pStyle w:val="Gogglelist"/>
        <w:numPr>
          <w:ilvl w:val="0"/>
          <w:numId w:val="16"/>
        </w:numPr>
      </w:pPr>
      <w:r>
        <w:t>Process</w:t>
      </w:r>
      <w:r w:rsidRPr="0023566D">
        <w:t xml:space="preserve"> </w:t>
      </w:r>
      <w:r>
        <w:t>e</w:t>
      </w:r>
      <w:r w:rsidRPr="0023566D">
        <w:t>quipment additions on a monthly basis</w:t>
      </w:r>
      <w:r>
        <w:t xml:space="preserve"> and</w:t>
      </w:r>
      <w:r w:rsidRPr="0023566D">
        <w:t xml:space="preserve"> </w:t>
      </w:r>
      <w:r>
        <w:t>allocating</w:t>
      </w:r>
      <w:r w:rsidRPr="0023566D">
        <w:t xml:space="preserve"> each new asset an ID on the fixed asset register (asset ID to be transferred onto an asset ID label and sent to relevant department to attach to relevant asset) </w:t>
      </w:r>
    </w:p>
    <w:p w14:paraId="0E67384D" w14:textId="77777777" w:rsidR="0000215C" w:rsidRDefault="0000215C" w:rsidP="00D03806">
      <w:pPr>
        <w:pStyle w:val="Gogglelist"/>
        <w:numPr>
          <w:ilvl w:val="0"/>
          <w:numId w:val="16"/>
        </w:numPr>
      </w:pPr>
      <w:r>
        <w:t>Send a</w:t>
      </w:r>
      <w:r w:rsidRPr="0023566D">
        <w:t xml:space="preserve">sset lists </w:t>
      </w:r>
      <w:r>
        <w:t>t</w:t>
      </w:r>
      <w:r w:rsidRPr="0023566D">
        <w:t xml:space="preserve">o departments </w:t>
      </w:r>
      <w:r>
        <w:t>annually for departments</w:t>
      </w:r>
      <w:r w:rsidRPr="0023566D">
        <w:t xml:space="preserve"> to identify any obsolete, sold, damaged items or any additions which have not been previously identified.  </w:t>
      </w:r>
    </w:p>
    <w:p w14:paraId="28E797A0" w14:textId="77777777" w:rsidR="0000215C" w:rsidRPr="0023566D" w:rsidRDefault="0000215C" w:rsidP="005A2AFE">
      <w:pPr>
        <w:pStyle w:val="Gogglelist"/>
        <w:numPr>
          <w:ilvl w:val="0"/>
          <w:numId w:val="16"/>
        </w:numPr>
      </w:pPr>
      <w:r>
        <w:t>Maintaining the Fixed Asset Register based on information provided by departments.</w:t>
      </w:r>
    </w:p>
    <w:p w14:paraId="57B08AB3" w14:textId="77777777" w:rsidR="0000215C" w:rsidRDefault="0000215C" w:rsidP="005A2AFE">
      <w:pPr>
        <w:pStyle w:val="Gogglelist"/>
        <w:numPr>
          <w:ilvl w:val="0"/>
          <w:numId w:val="16"/>
        </w:numPr>
      </w:pPr>
      <w:r>
        <w:t>I</w:t>
      </w:r>
      <w:r w:rsidRPr="0023566D">
        <w:t>dentif</w:t>
      </w:r>
      <w:r>
        <w:t>y new assets</w:t>
      </w:r>
      <w:r w:rsidRPr="0023566D">
        <w:t xml:space="preserve"> by liaising with Estates Department</w:t>
      </w:r>
      <w:r>
        <w:t xml:space="preserve"> on a quarterly basis.</w:t>
      </w:r>
      <w:r w:rsidRPr="0023566D">
        <w:t xml:space="preserve">  </w:t>
      </w:r>
      <w:r>
        <w:t>New buildings</w:t>
      </w:r>
      <w:r w:rsidRPr="0023566D">
        <w:t xml:space="preserve"> are capitalised on completion.  </w:t>
      </w:r>
    </w:p>
    <w:p w14:paraId="2AC5C9FF" w14:textId="77777777" w:rsidR="003909AD" w:rsidRDefault="003909AD" w:rsidP="005A2AFE">
      <w:pPr>
        <w:pStyle w:val="Gogglelist"/>
        <w:numPr>
          <w:ilvl w:val="0"/>
          <w:numId w:val="16"/>
        </w:numPr>
      </w:pPr>
      <w:r>
        <w:t>Monitor capital expenditure compared to the approved Capital Budget on a quarterly basis.</w:t>
      </w:r>
    </w:p>
    <w:p w14:paraId="00E314BB" w14:textId="77777777" w:rsidR="0000215C" w:rsidRPr="0023566D" w:rsidRDefault="0000215C" w:rsidP="005A2AFE">
      <w:pPr>
        <w:pStyle w:val="Gogglelist"/>
        <w:numPr>
          <w:ilvl w:val="0"/>
          <w:numId w:val="16"/>
        </w:numPr>
      </w:pPr>
      <w:r>
        <w:t xml:space="preserve">Ensure that </w:t>
      </w:r>
      <w:r w:rsidRPr="0023566D">
        <w:t xml:space="preserve">ongoing </w:t>
      </w:r>
      <w:r>
        <w:t xml:space="preserve">work </w:t>
      </w:r>
      <w:r w:rsidRPr="0023566D">
        <w:t xml:space="preserve">at the year-end is recorded </w:t>
      </w:r>
      <w:r>
        <w:t>as</w:t>
      </w:r>
      <w:r w:rsidRPr="0023566D">
        <w:t xml:space="preserve"> W</w:t>
      </w:r>
      <w:r>
        <w:t>ork in Progress.</w:t>
      </w:r>
    </w:p>
    <w:p w14:paraId="229EFC4A" w14:textId="77777777" w:rsidR="0000215C" w:rsidRPr="0023566D" w:rsidRDefault="0000215C" w:rsidP="005A2AFE">
      <w:pPr>
        <w:pStyle w:val="Gogglelist"/>
        <w:numPr>
          <w:ilvl w:val="0"/>
          <w:numId w:val="16"/>
        </w:numPr>
      </w:pPr>
      <w:r w:rsidRPr="0023566D">
        <w:t>Depreciation processed on a monthly basis before the ledger closes</w:t>
      </w:r>
    </w:p>
    <w:p w14:paraId="484158C2" w14:textId="77777777" w:rsidR="0000215C" w:rsidRPr="0023566D" w:rsidRDefault="0000215C" w:rsidP="005A2AFE">
      <w:pPr>
        <w:pStyle w:val="Gogglelist"/>
        <w:numPr>
          <w:ilvl w:val="0"/>
          <w:numId w:val="16"/>
        </w:numPr>
      </w:pPr>
      <w:r w:rsidRPr="0023566D">
        <w:t>Asset register is reconciled to the general ledger twice a year</w:t>
      </w:r>
    </w:p>
    <w:p w14:paraId="0DF6E076" w14:textId="67AF0CEA" w:rsidR="0000215C" w:rsidRDefault="0000215C" w:rsidP="00705910">
      <w:pPr>
        <w:pStyle w:val="Gogglelist"/>
        <w:numPr>
          <w:ilvl w:val="0"/>
          <w:numId w:val="16"/>
        </w:numPr>
      </w:pPr>
      <w:r w:rsidRPr="0023566D">
        <w:t>New assets such as property, boats, vehicles are notified to UMAL (AU insurers) on acquisition to ensure that these are added to the policy and full cover is in place</w:t>
      </w:r>
      <w:r w:rsidR="00CC58D8">
        <w:t>.</w:t>
      </w:r>
    </w:p>
    <w:p w14:paraId="530DBFB8" w14:textId="5F8AAEAE" w:rsidR="0000215C" w:rsidRPr="00CC58D8" w:rsidRDefault="00D03806" w:rsidP="00D03806">
      <w:pPr>
        <w:pStyle w:val="Gogglelist"/>
        <w:ind w:left="720"/>
      </w:pPr>
      <w:r>
        <w:t>15.1</w:t>
      </w:r>
      <w:r w:rsidR="007C0F22">
        <w:t>3</w:t>
      </w:r>
      <w:r>
        <w:t>.</w:t>
      </w:r>
      <w:r w:rsidR="007C0F22">
        <w:t>3</w:t>
      </w:r>
      <w:r>
        <w:t>.</w:t>
      </w:r>
      <w:r>
        <w:tab/>
        <w:t>Responsibilities of Estates</w:t>
      </w:r>
    </w:p>
    <w:p w14:paraId="5180E02B" w14:textId="77777777" w:rsidR="0000215C" w:rsidRDefault="0000215C" w:rsidP="005A2AFE">
      <w:pPr>
        <w:pStyle w:val="Gogglelist"/>
        <w:numPr>
          <w:ilvl w:val="0"/>
          <w:numId w:val="18"/>
        </w:numPr>
      </w:pPr>
      <w:r>
        <w:rPr>
          <w:rFonts w:cs="Times New Roman"/>
          <w:bCs/>
          <w:color w:val="000000"/>
        </w:rPr>
        <w:t>N</w:t>
      </w:r>
      <w:r w:rsidRPr="0023566D">
        <w:t xml:space="preserve">otify Finance upon completion </w:t>
      </w:r>
      <w:r>
        <w:t xml:space="preserve">of building project for </w:t>
      </w:r>
      <w:r w:rsidRPr="0023566D">
        <w:t>Insurance purposes</w:t>
      </w:r>
      <w:r>
        <w:t>.</w:t>
      </w:r>
    </w:p>
    <w:p w14:paraId="5824A1CB" w14:textId="77777777" w:rsidR="0000215C" w:rsidRDefault="0000215C" w:rsidP="005A2AFE">
      <w:pPr>
        <w:pStyle w:val="Gogglelist"/>
        <w:numPr>
          <w:ilvl w:val="0"/>
          <w:numId w:val="18"/>
        </w:numPr>
      </w:pPr>
      <w:r>
        <w:t>Notify Finance of any changes to the Estate land and building estate management records and ensure that a consistent coding is used for maintaining the estate management records.</w:t>
      </w:r>
    </w:p>
    <w:p w14:paraId="105FD03A" w14:textId="77777777" w:rsidR="0000215C" w:rsidRDefault="0000215C" w:rsidP="005A2AFE">
      <w:pPr>
        <w:pStyle w:val="Gogglelist"/>
        <w:numPr>
          <w:ilvl w:val="0"/>
          <w:numId w:val="18"/>
        </w:numPr>
      </w:pPr>
      <w:r>
        <w:t xml:space="preserve">Ensure appropriate financial approvals are in place for Estates managed </w:t>
      </w:r>
      <w:r w:rsidR="003909AD">
        <w:t xml:space="preserve">capital </w:t>
      </w:r>
      <w:r>
        <w:t>projects before committing the University to capital spend.</w:t>
      </w:r>
      <w:r w:rsidR="008105B5">
        <w:t xml:space="preserve"> The VAT implications of such projects must be assessed by Finance before they commence.</w:t>
      </w:r>
    </w:p>
    <w:p w14:paraId="46C3EEA0" w14:textId="77777777" w:rsidR="003909AD" w:rsidRPr="0023566D" w:rsidRDefault="003909AD" w:rsidP="005A2AFE">
      <w:pPr>
        <w:pStyle w:val="Gogglelist"/>
        <w:numPr>
          <w:ilvl w:val="0"/>
          <w:numId w:val="18"/>
        </w:numPr>
      </w:pPr>
      <w:r>
        <w:t xml:space="preserve">Liaise quarterly with Finance to confirm which projects have completed and the nature of projects which are due to commence. </w:t>
      </w:r>
    </w:p>
    <w:p w14:paraId="65A65ABF" w14:textId="5AEC52E5" w:rsidR="0000215C" w:rsidRDefault="0000215C" w:rsidP="0000215C">
      <w:pPr>
        <w:pStyle w:val="Heading3"/>
      </w:pPr>
      <w:r w:rsidRPr="0023566D">
        <w:t>Maintaining the Fixed Asset Register</w:t>
      </w:r>
    </w:p>
    <w:p w14:paraId="37351327" w14:textId="0A2C9198" w:rsidR="00D03806" w:rsidRDefault="00D03806" w:rsidP="00D03806"/>
    <w:p w14:paraId="39F43D6F" w14:textId="7A995A49" w:rsidR="0000215C" w:rsidRPr="0023566D" w:rsidRDefault="00D03806" w:rsidP="00D03806">
      <w:pPr>
        <w:ind w:left="1435" w:hanging="720"/>
      </w:pPr>
      <w:r>
        <w:t>15.1</w:t>
      </w:r>
      <w:r w:rsidR="007C0F22">
        <w:t>4</w:t>
      </w:r>
      <w:r>
        <w:t>.1.</w:t>
      </w:r>
      <w:r>
        <w:tab/>
        <w:t>The Finance Department maintains a central register of building and equipment over £10k.  The purpose of this register is:</w:t>
      </w:r>
    </w:p>
    <w:p w14:paraId="69E5A250" w14:textId="77777777" w:rsidR="0000215C" w:rsidRPr="0023566D" w:rsidRDefault="0000215C" w:rsidP="005A2AFE">
      <w:pPr>
        <w:pStyle w:val="Gogglelist"/>
        <w:numPr>
          <w:ilvl w:val="0"/>
          <w:numId w:val="19"/>
        </w:numPr>
      </w:pPr>
      <w:r w:rsidRPr="0023566D">
        <w:t>To ensure all capital assets are accurately recorded and maintained</w:t>
      </w:r>
    </w:p>
    <w:p w14:paraId="2990D2D9" w14:textId="77777777" w:rsidR="0000215C" w:rsidRPr="0023566D" w:rsidRDefault="0000215C" w:rsidP="005A2AFE">
      <w:pPr>
        <w:pStyle w:val="Gogglelist"/>
        <w:numPr>
          <w:ilvl w:val="0"/>
          <w:numId w:val="19"/>
        </w:numPr>
      </w:pPr>
      <w:r w:rsidRPr="0023566D">
        <w:t xml:space="preserve">To allow the Finance Department to accurately calculate the monthly depreciation for inclusion within the monthly management accounts, the annual budget and the </w:t>
      </w:r>
      <w:proofErr w:type="gramStart"/>
      <w:r w:rsidRPr="0023566D">
        <w:t>five year</w:t>
      </w:r>
      <w:proofErr w:type="gramEnd"/>
      <w:r w:rsidRPr="0023566D">
        <w:t xml:space="preserve"> plan</w:t>
      </w:r>
    </w:p>
    <w:p w14:paraId="33F58502" w14:textId="77777777" w:rsidR="0000215C" w:rsidRPr="0023566D" w:rsidRDefault="0000215C" w:rsidP="005A2AFE">
      <w:pPr>
        <w:pStyle w:val="Gogglelist"/>
        <w:numPr>
          <w:ilvl w:val="0"/>
          <w:numId w:val="19"/>
        </w:numPr>
      </w:pPr>
      <w:r w:rsidRPr="0023566D">
        <w:t xml:space="preserve">To provide a reference point to check all assets held within the University </w:t>
      </w:r>
    </w:p>
    <w:p w14:paraId="6CFC5DB7" w14:textId="05FAD365" w:rsidR="0000215C" w:rsidRDefault="0000215C" w:rsidP="005A2AFE">
      <w:pPr>
        <w:pStyle w:val="Gogglelist"/>
        <w:numPr>
          <w:ilvl w:val="0"/>
          <w:numId w:val="19"/>
        </w:numPr>
      </w:pPr>
      <w:r w:rsidRPr="0023566D">
        <w:t xml:space="preserve">To provide contact details for all assets for both </w:t>
      </w:r>
      <w:proofErr w:type="gramStart"/>
      <w:r w:rsidRPr="0023566D">
        <w:t>asset</w:t>
      </w:r>
      <w:proofErr w:type="gramEnd"/>
      <w:r w:rsidRPr="0023566D">
        <w:t xml:space="preserve"> sharing and for asset verification</w:t>
      </w:r>
    </w:p>
    <w:p w14:paraId="28A413F8" w14:textId="1D6346D7" w:rsidR="0000215C" w:rsidRPr="0023566D" w:rsidRDefault="00D03806" w:rsidP="00D03806">
      <w:pPr>
        <w:pStyle w:val="Gogglelist"/>
        <w:ind w:left="1440" w:hanging="720"/>
      </w:pPr>
      <w:r>
        <w:t>15.1</w:t>
      </w:r>
      <w:r w:rsidR="007C0F22">
        <w:t>4</w:t>
      </w:r>
      <w:r>
        <w:t>.2.</w:t>
      </w:r>
      <w:r>
        <w:tab/>
        <w:t>The register is updated monthly by the Financial Accounting team.  The information is obtained from the Capital Expenditure Record forms and the asset disposal forms provided by departments.</w:t>
      </w:r>
    </w:p>
    <w:p w14:paraId="399EC685" w14:textId="2F360A34" w:rsidR="0000215C" w:rsidRDefault="0000215C" w:rsidP="0000215C">
      <w:pPr>
        <w:pStyle w:val="Heading3"/>
      </w:pPr>
      <w:r w:rsidRPr="0023566D">
        <w:t>Coding structure for Fixed Assets</w:t>
      </w:r>
    </w:p>
    <w:p w14:paraId="47323F03" w14:textId="6DA832EC" w:rsidR="00D03806" w:rsidRDefault="00D03806" w:rsidP="00D03806"/>
    <w:p w14:paraId="68B689F5" w14:textId="0EB1E6D4" w:rsidR="00D03806" w:rsidRDefault="00D03806" w:rsidP="00D03806">
      <w:pPr>
        <w:ind w:left="1435" w:hanging="720"/>
      </w:pPr>
      <w:r>
        <w:t>15.1</w:t>
      </w:r>
      <w:r w:rsidR="007C0F22">
        <w:t>5</w:t>
      </w:r>
      <w:r>
        <w:t>.1.</w:t>
      </w:r>
      <w:r>
        <w:tab/>
        <w:t xml:space="preserve">The Estates department maintain a schedule of land and buildings on the Planet Systems.  All University land and buildings have been assigned a unique specific code that is used by both Finance and Estates.  </w:t>
      </w:r>
    </w:p>
    <w:p w14:paraId="218F5D8E" w14:textId="601DD427" w:rsidR="00DB6A66" w:rsidRDefault="00DB6A66" w:rsidP="00D03806">
      <w:pPr>
        <w:ind w:left="1435" w:hanging="720"/>
      </w:pPr>
      <w:r>
        <w:t>15.1</w:t>
      </w:r>
      <w:r w:rsidR="007C0F22">
        <w:t>5</w:t>
      </w:r>
      <w:r>
        <w:t>.2.</w:t>
      </w:r>
      <w:r>
        <w:tab/>
        <w:t>The Financial Accounting team is responsible for reconciling the Finance Department codes with the Estates Department codes at the year end and to ensure that all additions and disposals have been captured.</w:t>
      </w:r>
    </w:p>
    <w:p w14:paraId="5DE85E48" w14:textId="651B63E2" w:rsidR="00DB6A66" w:rsidRPr="00D03806" w:rsidRDefault="00DB6A66" w:rsidP="00D03806">
      <w:pPr>
        <w:ind w:left="1435" w:hanging="720"/>
      </w:pPr>
      <w:r>
        <w:t>15.1</w:t>
      </w:r>
      <w:r w:rsidR="007C0F22">
        <w:t>5</w:t>
      </w:r>
      <w:r>
        <w:t>.3.</w:t>
      </w:r>
      <w:r>
        <w:tab/>
        <w:t>Finance Department and the Estates Department should maintain their record systems using the agreed coding structure.</w:t>
      </w:r>
    </w:p>
    <w:p w14:paraId="1B32A35A" w14:textId="75D8F2DF" w:rsidR="0000215C" w:rsidRPr="0023566D" w:rsidRDefault="0000215C" w:rsidP="00D03806">
      <w:pPr>
        <w:pStyle w:val="Level3paragraph"/>
        <w:numPr>
          <w:ilvl w:val="0"/>
          <w:numId w:val="0"/>
        </w:numPr>
        <w:ind w:left="2064"/>
      </w:pPr>
    </w:p>
    <w:p w14:paraId="31EF47BA" w14:textId="6C25D8FD" w:rsidR="00556DBF" w:rsidRDefault="00556DBF" w:rsidP="00DB6A66">
      <w:pPr>
        <w:pStyle w:val="Level3paragraph"/>
        <w:numPr>
          <w:ilvl w:val="0"/>
          <w:numId w:val="0"/>
        </w:numPr>
        <w:ind w:left="2064" w:hanging="504"/>
      </w:pPr>
    </w:p>
    <w:sectPr w:rsidR="00556DBF" w:rsidSect="00705910">
      <w:headerReference w:type="default" r:id="rId16"/>
      <w:pgSz w:w="11906" w:h="16838"/>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94" w14:textId="77777777" w:rsidR="00E468AF" w:rsidRDefault="00E468AF" w:rsidP="007B6554">
      <w:pPr>
        <w:spacing w:after="0" w:line="240" w:lineRule="auto"/>
      </w:pPr>
      <w:r>
        <w:separator/>
      </w:r>
    </w:p>
  </w:endnote>
  <w:endnote w:type="continuationSeparator" w:id="0">
    <w:p w14:paraId="2D7B9C9B" w14:textId="77777777" w:rsidR="00E468AF" w:rsidRDefault="00E468AF" w:rsidP="007B6554">
      <w:pPr>
        <w:spacing w:after="0" w:line="240" w:lineRule="auto"/>
      </w:pPr>
      <w:r>
        <w:continuationSeparator/>
      </w:r>
    </w:p>
  </w:endnote>
  <w:endnote w:type="continuationNotice" w:id="1">
    <w:p w14:paraId="2E5C639B" w14:textId="77777777" w:rsidR="00E468AF" w:rsidRDefault="00E46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A80A" w14:textId="77777777" w:rsidR="00A52F97" w:rsidRDefault="00A5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C50F" w14:textId="77777777" w:rsidR="00E468AF" w:rsidRDefault="00E468AF" w:rsidP="007B6554">
      <w:pPr>
        <w:spacing w:after="0" w:line="240" w:lineRule="auto"/>
      </w:pPr>
      <w:r>
        <w:separator/>
      </w:r>
    </w:p>
  </w:footnote>
  <w:footnote w:type="continuationSeparator" w:id="0">
    <w:p w14:paraId="5C12A765" w14:textId="77777777" w:rsidR="00E468AF" w:rsidRDefault="00E468AF" w:rsidP="007B6554">
      <w:pPr>
        <w:spacing w:after="0" w:line="240" w:lineRule="auto"/>
      </w:pPr>
      <w:r>
        <w:continuationSeparator/>
      </w:r>
    </w:p>
  </w:footnote>
  <w:footnote w:type="continuationNotice" w:id="1">
    <w:p w14:paraId="445361B3" w14:textId="77777777" w:rsidR="00E468AF" w:rsidRDefault="00E46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27FB" w14:textId="083DE972" w:rsidR="00075D88" w:rsidRPr="00EC6BC6" w:rsidRDefault="00075D88" w:rsidP="00EC6BC6">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FF3D" w14:textId="07D6732E" w:rsidR="00075D88" w:rsidRPr="00EC6BC6" w:rsidRDefault="00075D88" w:rsidP="00320EFC">
    <w:pPr>
      <w:jc w:val="center"/>
      <w:rPr>
        <w:b/>
      </w:rPr>
    </w:pPr>
    <w:r w:rsidRPr="00EC6BC6">
      <w:rPr>
        <w:b/>
      </w:rPr>
      <w:t>Section 1</w:t>
    </w:r>
    <w:r w:rsidR="00BA3EB6">
      <w:rPr>
        <w:b/>
      </w:rPr>
      <w:t>5</w:t>
    </w:r>
    <w:r>
      <w:rPr>
        <w:b/>
      </w:rPr>
      <w:t>: Capital Projects and Fixed Assets</w:t>
    </w:r>
    <w:r w:rsidRPr="00EC6BC6">
      <w:rPr>
        <w:b/>
      </w:rPr>
      <w:t xml:space="preserve">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E06"/>
    <w:multiLevelType w:val="hybridMultilevel"/>
    <w:tmpl w:val="0E6CC9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F23A38"/>
    <w:multiLevelType w:val="multilevel"/>
    <w:tmpl w:val="D690DF0A"/>
    <w:numStyleLink w:val="NumbListLegal"/>
  </w:abstractNum>
  <w:abstractNum w:abstractNumId="2" w15:restartNumberingAfterBreak="0">
    <w:nsid w:val="15BD36E7"/>
    <w:multiLevelType w:val="hybridMultilevel"/>
    <w:tmpl w:val="3DF69214"/>
    <w:lvl w:ilvl="0" w:tplc="A886BF60">
      <w:start w:val="1"/>
      <w:numFmt w:val="lowerLetter"/>
      <w:pStyle w:val="Style3"/>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24C2C"/>
    <w:multiLevelType w:val="hybridMultilevel"/>
    <w:tmpl w:val="4B52DE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D91F40"/>
    <w:multiLevelType w:val="hybridMultilevel"/>
    <w:tmpl w:val="1AB4AE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8B0F4A"/>
    <w:multiLevelType w:val="hybridMultilevel"/>
    <w:tmpl w:val="101EAD2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2570FF9"/>
    <w:multiLevelType w:val="hybridMultilevel"/>
    <w:tmpl w:val="7AB6FC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B369FC"/>
    <w:multiLevelType w:val="hybridMultilevel"/>
    <w:tmpl w:val="E03889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EA6468"/>
    <w:multiLevelType w:val="hybridMultilevel"/>
    <w:tmpl w:val="48CAD7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A636E"/>
    <w:multiLevelType w:val="hybridMultilevel"/>
    <w:tmpl w:val="AB86A1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B47BA6"/>
    <w:multiLevelType w:val="hybridMultilevel"/>
    <w:tmpl w:val="AF8AF0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561EB5"/>
    <w:multiLevelType w:val="hybridMultilevel"/>
    <w:tmpl w:val="C63A41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50CB5"/>
    <w:multiLevelType w:val="hybridMultilevel"/>
    <w:tmpl w:val="4AD649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A04919"/>
    <w:multiLevelType w:val="hybridMultilevel"/>
    <w:tmpl w:val="FFFAD172"/>
    <w:lvl w:ilvl="0" w:tplc="08090005">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 w15:restartNumberingAfterBreak="0">
    <w:nsid w:val="37A85E51"/>
    <w:multiLevelType w:val="hybridMultilevel"/>
    <w:tmpl w:val="BF3ABCF4"/>
    <w:lvl w:ilvl="0" w:tplc="08090005">
      <w:start w:val="1"/>
      <w:numFmt w:val="bullet"/>
      <w:lvlText w:val=""/>
      <w:lvlJc w:val="left"/>
      <w:pPr>
        <w:ind w:left="1636" w:hanging="360"/>
      </w:pPr>
      <w:rPr>
        <w:rFonts w:ascii="Wingdings" w:hAnsi="Wingdings" w:hint="default"/>
        <w:color w:val="auto"/>
        <w:sz w:val="16"/>
        <w:szCs w:val="16"/>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7BC6DD6"/>
    <w:multiLevelType w:val="hybridMultilevel"/>
    <w:tmpl w:val="01486D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F4BED"/>
    <w:multiLevelType w:val="multilevel"/>
    <w:tmpl w:val="B1AA3838"/>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7" w15:restartNumberingAfterBreak="0">
    <w:nsid w:val="52302F23"/>
    <w:multiLevelType w:val="hybridMultilevel"/>
    <w:tmpl w:val="4BBA7B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435B5C"/>
    <w:multiLevelType w:val="hybridMultilevel"/>
    <w:tmpl w:val="93328CA4"/>
    <w:lvl w:ilvl="0" w:tplc="0AF810CA">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F21E4"/>
    <w:multiLevelType w:val="hybridMultilevel"/>
    <w:tmpl w:val="9FE8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35108"/>
    <w:multiLevelType w:val="hybridMultilevel"/>
    <w:tmpl w:val="B1C213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44750C"/>
    <w:multiLevelType w:val="hybridMultilevel"/>
    <w:tmpl w:val="C860C2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3" w15:restartNumberingAfterBreak="0">
    <w:nsid w:val="67432FCC"/>
    <w:multiLevelType w:val="hybridMultilevel"/>
    <w:tmpl w:val="E5C0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0401E"/>
    <w:multiLevelType w:val="hybridMultilevel"/>
    <w:tmpl w:val="B3A8EB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F7683D"/>
    <w:multiLevelType w:val="multilevel"/>
    <w:tmpl w:val="4C140410"/>
    <w:lvl w:ilvl="0">
      <w:start w:val="15"/>
      <w:numFmt w:val="decimal"/>
      <w:pStyle w:val="Heading2"/>
      <w:lvlText w:val="%1."/>
      <w:lvlJc w:val="left"/>
      <w:pPr>
        <w:ind w:left="360" w:hanging="360"/>
      </w:pPr>
      <w:rPr>
        <w:rFonts w:hint="default"/>
      </w:rPr>
    </w:lvl>
    <w:lvl w:ilvl="1">
      <w:start w:val="13"/>
      <w:numFmt w:val="decimal"/>
      <w:pStyle w:val="Heading3"/>
      <w:lvlText w:val="%1.%2."/>
      <w:lvlJc w:val="left"/>
      <w:pPr>
        <w:ind w:left="715" w:hanging="432"/>
      </w:pPr>
      <w:rPr>
        <w:rFonts w:hint="default"/>
        <w:b/>
        <w:bCs/>
      </w:rPr>
    </w:lvl>
    <w:lvl w:ilvl="2">
      <w:start w:val="1"/>
      <w:numFmt w:val="decimal"/>
      <w:pStyle w:val="Heading4"/>
      <w:lvlText w:val="%1.%2.%3."/>
      <w:lvlJc w:val="left"/>
      <w:pPr>
        <w:ind w:left="1921" w:hanging="504"/>
      </w:pPr>
      <w:rPr>
        <w:rFonts w:hint="default"/>
      </w:rPr>
    </w:lvl>
    <w:lvl w:ilvl="3">
      <w:start w:val="1"/>
      <w:numFmt w:val="decimal"/>
      <w:pStyle w:val="Heading5"/>
      <w:lvlText w:val="%1.%2.%3.%4."/>
      <w:lvlJc w:val="left"/>
      <w:pPr>
        <w:ind w:left="192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D03CDD"/>
    <w:multiLevelType w:val="hybridMultilevel"/>
    <w:tmpl w:val="907A211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5"/>
  </w:num>
  <w:num w:numId="4">
    <w:abstractNumId w:val="18"/>
  </w:num>
  <w:num w:numId="5">
    <w:abstractNumId w:val="2"/>
  </w:num>
  <w:num w:numId="6">
    <w:abstractNumId w:val="19"/>
  </w:num>
  <w:num w:numId="7">
    <w:abstractNumId w:val="22"/>
  </w:num>
  <w:num w:numId="8">
    <w:abstractNumId w:val="1"/>
    <w:lvlOverride w:ilvl="0">
      <w:lvl w:ilvl="0">
        <w:numFmt w:val="decimal"/>
        <w:pStyle w:val="Level1Heading"/>
        <w:lvlText w:val=""/>
        <w:lvlJc w:val="left"/>
      </w:lvl>
    </w:lvlOverride>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rPr>
      </w:lvl>
    </w:lvlOverride>
  </w:num>
  <w:num w:numId="9">
    <w:abstractNumId w:val="23"/>
  </w:num>
  <w:num w:numId="10">
    <w:abstractNumId w:val="2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0"/>
  </w:num>
  <w:num w:numId="13">
    <w:abstractNumId w:val="13"/>
  </w:num>
  <w:num w:numId="14">
    <w:abstractNumId w:val="5"/>
  </w:num>
  <w:num w:numId="15">
    <w:abstractNumId w:val="21"/>
  </w:num>
  <w:num w:numId="16">
    <w:abstractNumId w:val="11"/>
  </w:num>
  <w:num w:numId="17">
    <w:abstractNumId w:val="10"/>
  </w:num>
  <w:num w:numId="18">
    <w:abstractNumId w:val="9"/>
  </w:num>
  <w:num w:numId="19">
    <w:abstractNumId w:val="7"/>
  </w:num>
  <w:num w:numId="20">
    <w:abstractNumId w:val="8"/>
  </w:num>
  <w:num w:numId="21">
    <w:abstractNumId w:val="15"/>
  </w:num>
  <w:num w:numId="22">
    <w:abstractNumId w:val="20"/>
  </w:num>
  <w:num w:numId="23">
    <w:abstractNumId w:val="4"/>
  </w:num>
  <w:num w:numId="24">
    <w:abstractNumId w:val="24"/>
  </w:num>
  <w:num w:numId="25">
    <w:abstractNumId w:val="6"/>
  </w:num>
  <w:num w:numId="26">
    <w:abstractNumId w:val="3"/>
  </w:num>
  <w:num w:numId="27">
    <w:abstractNumId w:val="12"/>
  </w:num>
  <w:num w:numId="28">
    <w:abstractNumId w:val="17"/>
  </w:num>
  <w:num w:numId="29">
    <w:abstractNumId w:val="25"/>
  </w:num>
  <w:num w:numId="30">
    <w:abstractNumId w:val="25"/>
  </w:num>
  <w:num w:numId="31">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54"/>
    <w:rsid w:val="0000215C"/>
    <w:rsid w:val="00005E45"/>
    <w:rsid w:val="00012B70"/>
    <w:rsid w:val="00016C4F"/>
    <w:rsid w:val="000342A2"/>
    <w:rsid w:val="00042AB4"/>
    <w:rsid w:val="00042AC7"/>
    <w:rsid w:val="000432E5"/>
    <w:rsid w:val="00056597"/>
    <w:rsid w:val="00060134"/>
    <w:rsid w:val="00065BA5"/>
    <w:rsid w:val="00067A14"/>
    <w:rsid w:val="000727DB"/>
    <w:rsid w:val="00075640"/>
    <w:rsid w:val="00075D88"/>
    <w:rsid w:val="00076485"/>
    <w:rsid w:val="0008401D"/>
    <w:rsid w:val="00087810"/>
    <w:rsid w:val="000905EF"/>
    <w:rsid w:val="0009140E"/>
    <w:rsid w:val="0009603B"/>
    <w:rsid w:val="00096484"/>
    <w:rsid w:val="00097FDC"/>
    <w:rsid w:val="000A630F"/>
    <w:rsid w:val="000B0EC8"/>
    <w:rsid w:val="000B2A57"/>
    <w:rsid w:val="000B3752"/>
    <w:rsid w:val="000B3C71"/>
    <w:rsid w:val="000B7CCE"/>
    <w:rsid w:val="000C0069"/>
    <w:rsid w:val="000C5EAF"/>
    <w:rsid w:val="000E566E"/>
    <w:rsid w:val="000E58D5"/>
    <w:rsid w:val="000E6BC6"/>
    <w:rsid w:val="000E6D41"/>
    <w:rsid w:val="00112484"/>
    <w:rsid w:val="00115D3B"/>
    <w:rsid w:val="00130AD9"/>
    <w:rsid w:val="00130DC3"/>
    <w:rsid w:val="0013163C"/>
    <w:rsid w:val="0013609A"/>
    <w:rsid w:val="00137583"/>
    <w:rsid w:val="00137F45"/>
    <w:rsid w:val="00142CF0"/>
    <w:rsid w:val="00142FF3"/>
    <w:rsid w:val="00143F83"/>
    <w:rsid w:val="001442CD"/>
    <w:rsid w:val="00145D86"/>
    <w:rsid w:val="00147AC3"/>
    <w:rsid w:val="00153B87"/>
    <w:rsid w:val="00157CA6"/>
    <w:rsid w:val="00164BFA"/>
    <w:rsid w:val="00167E55"/>
    <w:rsid w:val="0017082B"/>
    <w:rsid w:val="00170899"/>
    <w:rsid w:val="00170E86"/>
    <w:rsid w:val="00172726"/>
    <w:rsid w:val="00173CBC"/>
    <w:rsid w:val="00180748"/>
    <w:rsid w:val="0018153B"/>
    <w:rsid w:val="00184763"/>
    <w:rsid w:val="00194AEE"/>
    <w:rsid w:val="0019595A"/>
    <w:rsid w:val="001A0F22"/>
    <w:rsid w:val="001A1237"/>
    <w:rsid w:val="001A452E"/>
    <w:rsid w:val="001A6BFA"/>
    <w:rsid w:val="001B1F14"/>
    <w:rsid w:val="001B6235"/>
    <w:rsid w:val="001C5B6D"/>
    <w:rsid w:val="001D2CBC"/>
    <w:rsid w:val="001D715F"/>
    <w:rsid w:val="001E7B0A"/>
    <w:rsid w:val="001F0F85"/>
    <w:rsid w:val="001F3D96"/>
    <w:rsid w:val="001F56F1"/>
    <w:rsid w:val="001F5F9C"/>
    <w:rsid w:val="002064EE"/>
    <w:rsid w:val="00207945"/>
    <w:rsid w:val="00210F50"/>
    <w:rsid w:val="002127DD"/>
    <w:rsid w:val="00213117"/>
    <w:rsid w:val="002137BD"/>
    <w:rsid w:val="002143A3"/>
    <w:rsid w:val="00214FD8"/>
    <w:rsid w:val="00220CB8"/>
    <w:rsid w:val="00223EAF"/>
    <w:rsid w:val="0022580E"/>
    <w:rsid w:val="00233C7A"/>
    <w:rsid w:val="00235EC4"/>
    <w:rsid w:val="0023767D"/>
    <w:rsid w:val="0024345B"/>
    <w:rsid w:val="00244473"/>
    <w:rsid w:val="0024681D"/>
    <w:rsid w:val="00247089"/>
    <w:rsid w:val="00250847"/>
    <w:rsid w:val="002533A5"/>
    <w:rsid w:val="00271467"/>
    <w:rsid w:val="00272887"/>
    <w:rsid w:val="00275246"/>
    <w:rsid w:val="00275D47"/>
    <w:rsid w:val="00281D13"/>
    <w:rsid w:val="00290E0E"/>
    <w:rsid w:val="0029237F"/>
    <w:rsid w:val="0029261C"/>
    <w:rsid w:val="002947B0"/>
    <w:rsid w:val="00295B55"/>
    <w:rsid w:val="002A2363"/>
    <w:rsid w:val="002A75F4"/>
    <w:rsid w:val="002B08F8"/>
    <w:rsid w:val="002B2CE6"/>
    <w:rsid w:val="002B300B"/>
    <w:rsid w:val="002B5096"/>
    <w:rsid w:val="002D246E"/>
    <w:rsid w:val="002D2832"/>
    <w:rsid w:val="002D3FA8"/>
    <w:rsid w:val="002D5141"/>
    <w:rsid w:val="002D54A1"/>
    <w:rsid w:val="002D720B"/>
    <w:rsid w:val="002E0183"/>
    <w:rsid w:val="002E4676"/>
    <w:rsid w:val="002E47AB"/>
    <w:rsid w:val="002F2D3F"/>
    <w:rsid w:val="002F4F1E"/>
    <w:rsid w:val="00300773"/>
    <w:rsid w:val="003048A0"/>
    <w:rsid w:val="003176F7"/>
    <w:rsid w:val="00320EFC"/>
    <w:rsid w:val="0032278F"/>
    <w:rsid w:val="0032290F"/>
    <w:rsid w:val="003252C3"/>
    <w:rsid w:val="00327EFC"/>
    <w:rsid w:val="003328E8"/>
    <w:rsid w:val="00332DF6"/>
    <w:rsid w:val="00333DDC"/>
    <w:rsid w:val="0033743F"/>
    <w:rsid w:val="00340B98"/>
    <w:rsid w:val="00342A21"/>
    <w:rsid w:val="003451BE"/>
    <w:rsid w:val="00347DB3"/>
    <w:rsid w:val="00351E4C"/>
    <w:rsid w:val="00351F00"/>
    <w:rsid w:val="00356430"/>
    <w:rsid w:val="0036253D"/>
    <w:rsid w:val="003644E9"/>
    <w:rsid w:val="003652DD"/>
    <w:rsid w:val="00367168"/>
    <w:rsid w:val="00373A53"/>
    <w:rsid w:val="00375112"/>
    <w:rsid w:val="00381A4A"/>
    <w:rsid w:val="00381BE9"/>
    <w:rsid w:val="003909AD"/>
    <w:rsid w:val="00390D30"/>
    <w:rsid w:val="00392F88"/>
    <w:rsid w:val="0039312E"/>
    <w:rsid w:val="003A3C07"/>
    <w:rsid w:val="003A5C2D"/>
    <w:rsid w:val="003B2245"/>
    <w:rsid w:val="003B2E62"/>
    <w:rsid w:val="003B2F2F"/>
    <w:rsid w:val="003C196A"/>
    <w:rsid w:val="003C1F5F"/>
    <w:rsid w:val="003C40D8"/>
    <w:rsid w:val="003C5F70"/>
    <w:rsid w:val="003C7570"/>
    <w:rsid w:val="003D6874"/>
    <w:rsid w:val="003F56FC"/>
    <w:rsid w:val="003F5FB0"/>
    <w:rsid w:val="003F7459"/>
    <w:rsid w:val="003F797F"/>
    <w:rsid w:val="00404A21"/>
    <w:rsid w:val="004153F9"/>
    <w:rsid w:val="00415772"/>
    <w:rsid w:val="0043043C"/>
    <w:rsid w:val="00430F0F"/>
    <w:rsid w:val="00431415"/>
    <w:rsid w:val="00431861"/>
    <w:rsid w:val="00434755"/>
    <w:rsid w:val="004353C0"/>
    <w:rsid w:val="0043635B"/>
    <w:rsid w:val="00440623"/>
    <w:rsid w:val="00445CC2"/>
    <w:rsid w:val="00446551"/>
    <w:rsid w:val="0044794E"/>
    <w:rsid w:val="0045256C"/>
    <w:rsid w:val="00453232"/>
    <w:rsid w:val="00453B87"/>
    <w:rsid w:val="00461512"/>
    <w:rsid w:val="00462F5E"/>
    <w:rsid w:val="004669AD"/>
    <w:rsid w:val="00472F10"/>
    <w:rsid w:val="00473EBE"/>
    <w:rsid w:val="00480311"/>
    <w:rsid w:val="00485CAA"/>
    <w:rsid w:val="00491C0E"/>
    <w:rsid w:val="00494340"/>
    <w:rsid w:val="00497717"/>
    <w:rsid w:val="004A750C"/>
    <w:rsid w:val="004B14BD"/>
    <w:rsid w:val="004B1EFD"/>
    <w:rsid w:val="004B402C"/>
    <w:rsid w:val="004B4981"/>
    <w:rsid w:val="004C03E0"/>
    <w:rsid w:val="004C60D1"/>
    <w:rsid w:val="004C6A65"/>
    <w:rsid w:val="004D2500"/>
    <w:rsid w:val="004D28FE"/>
    <w:rsid w:val="004D5570"/>
    <w:rsid w:val="004D68A9"/>
    <w:rsid w:val="004E0C07"/>
    <w:rsid w:val="004E27BE"/>
    <w:rsid w:val="004E2F78"/>
    <w:rsid w:val="004E3276"/>
    <w:rsid w:val="004E4A84"/>
    <w:rsid w:val="004F0814"/>
    <w:rsid w:val="004F1925"/>
    <w:rsid w:val="004F2545"/>
    <w:rsid w:val="0050015F"/>
    <w:rsid w:val="00503402"/>
    <w:rsid w:val="00505671"/>
    <w:rsid w:val="00506B86"/>
    <w:rsid w:val="00507012"/>
    <w:rsid w:val="00507574"/>
    <w:rsid w:val="005124EE"/>
    <w:rsid w:val="005137F7"/>
    <w:rsid w:val="005276B7"/>
    <w:rsid w:val="00530C79"/>
    <w:rsid w:val="0053351D"/>
    <w:rsid w:val="00537C32"/>
    <w:rsid w:val="005424A0"/>
    <w:rsid w:val="00554623"/>
    <w:rsid w:val="00555EE0"/>
    <w:rsid w:val="00556794"/>
    <w:rsid w:val="00556DBF"/>
    <w:rsid w:val="0055766E"/>
    <w:rsid w:val="00567346"/>
    <w:rsid w:val="005716BA"/>
    <w:rsid w:val="00580D25"/>
    <w:rsid w:val="00581A97"/>
    <w:rsid w:val="00583116"/>
    <w:rsid w:val="00583475"/>
    <w:rsid w:val="00585F6F"/>
    <w:rsid w:val="00592107"/>
    <w:rsid w:val="00595CA6"/>
    <w:rsid w:val="005A2AFE"/>
    <w:rsid w:val="005B61D0"/>
    <w:rsid w:val="005B6D4E"/>
    <w:rsid w:val="005C220C"/>
    <w:rsid w:val="005C3314"/>
    <w:rsid w:val="005C4679"/>
    <w:rsid w:val="005C6AD9"/>
    <w:rsid w:val="005D3193"/>
    <w:rsid w:val="005E0570"/>
    <w:rsid w:val="005E321D"/>
    <w:rsid w:val="005E6372"/>
    <w:rsid w:val="005F1364"/>
    <w:rsid w:val="005F2553"/>
    <w:rsid w:val="00600133"/>
    <w:rsid w:val="0060208F"/>
    <w:rsid w:val="0060361C"/>
    <w:rsid w:val="006069F5"/>
    <w:rsid w:val="00607E85"/>
    <w:rsid w:val="00613713"/>
    <w:rsid w:val="00626601"/>
    <w:rsid w:val="0063115A"/>
    <w:rsid w:val="0063235A"/>
    <w:rsid w:val="00633F9C"/>
    <w:rsid w:val="00635FF6"/>
    <w:rsid w:val="006365D7"/>
    <w:rsid w:val="00637F19"/>
    <w:rsid w:val="0065336F"/>
    <w:rsid w:val="00667270"/>
    <w:rsid w:val="006847EB"/>
    <w:rsid w:val="00690039"/>
    <w:rsid w:val="00692A91"/>
    <w:rsid w:val="00695DA1"/>
    <w:rsid w:val="00695EFB"/>
    <w:rsid w:val="00697E31"/>
    <w:rsid w:val="00697FD9"/>
    <w:rsid w:val="006A055D"/>
    <w:rsid w:val="006A182D"/>
    <w:rsid w:val="006A1AFE"/>
    <w:rsid w:val="006A1C09"/>
    <w:rsid w:val="006A2CAF"/>
    <w:rsid w:val="006A5786"/>
    <w:rsid w:val="006A6769"/>
    <w:rsid w:val="006B0E2B"/>
    <w:rsid w:val="006B7285"/>
    <w:rsid w:val="006C7E6A"/>
    <w:rsid w:val="006E3B8A"/>
    <w:rsid w:val="006E50E2"/>
    <w:rsid w:val="006F0E72"/>
    <w:rsid w:val="006F5598"/>
    <w:rsid w:val="00700E85"/>
    <w:rsid w:val="007017BF"/>
    <w:rsid w:val="007037E9"/>
    <w:rsid w:val="00705910"/>
    <w:rsid w:val="00706278"/>
    <w:rsid w:val="0071019E"/>
    <w:rsid w:val="00710B39"/>
    <w:rsid w:val="00710E61"/>
    <w:rsid w:val="0071104C"/>
    <w:rsid w:val="0072082B"/>
    <w:rsid w:val="00721953"/>
    <w:rsid w:val="007223B3"/>
    <w:rsid w:val="00730488"/>
    <w:rsid w:val="0073353D"/>
    <w:rsid w:val="00734DCF"/>
    <w:rsid w:val="0074011A"/>
    <w:rsid w:val="00740BE9"/>
    <w:rsid w:val="007510A4"/>
    <w:rsid w:val="0075455C"/>
    <w:rsid w:val="00756088"/>
    <w:rsid w:val="007560E7"/>
    <w:rsid w:val="00766055"/>
    <w:rsid w:val="00770565"/>
    <w:rsid w:val="00773734"/>
    <w:rsid w:val="00780C78"/>
    <w:rsid w:val="0078390D"/>
    <w:rsid w:val="0078504B"/>
    <w:rsid w:val="007950CB"/>
    <w:rsid w:val="007952E6"/>
    <w:rsid w:val="00795EB2"/>
    <w:rsid w:val="007A0436"/>
    <w:rsid w:val="007A6E1F"/>
    <w:rsid w:val="007B1E19"/>
    <w:rsid w:val="007B3B63"/>
    <w:rsid w:val="007B3DAE"/>
    <w:rsid w:val="007B6554"/>
    <w:rsid w:val="007B7C01"/>
    <w:rsid w:val="007C0F22"/>
    <w:rsid w:val="007D7C9B"/>
    <w:rsid w:val="007E721C"/>
    <w:rsid w:val="007F1A3F"/>
    <w:rsid w:val="007F2D80"/>
    <w:rsid w:val="007F2F66"/>
    <w:rsid w:val="007F776A"/>
    <w:rsid w:val="008102C7"/>
    <w:rsid w:val="008105B5"/>
    <w:rsid w:val="008117BB"/>
    <w:rsid w:val="00813DF6"/>
    <w:rsid w:val="00814396"/>
    <w:rsid w:val="00814A1F"/>
    <w:rsid w:val="00820765"/>
    <w:rsid w:val="00822F3F"/>
    <w:rsid w:val="008259F0"/>
    <w:rsid w:val="00827D0C"/>
    <w:rsid w:val="008347BF"/>
    <w:rsid w:val="00835645"/>
    <w:rsid w:val="00843D53"/>
    <w:rsid w:val="00844BDA"/>
    <w:rsid w:val="008479A0"/>
    <w:rsid w:val="00850F40"/>
    <w:rsid w:val="00857828"/>
    <w:rsid w:val="0086449E"/>
    <w:rsid w:val="0086546E"/>
    <w:rsid w:val="00877158"/>
    <w:rsid w:val="00885CE7"/>
    <w:rsid w:val="008905F3"/>
    <w:rsid w:val="00896CF3"/>
    <w:rsid w:val="0089768D"/>
    <w:rsid w:val="008A2DF6"/>
    <w:rsid w:val="008A58A4"/>
    <w:rsid w:val="008A6034"/>
    <w:rsid w:val="008B41FD"/>
    <w:rsid w:val="008B541C"/>
    <w:rsid w:val="008C0FE9"/>
    <w:rsid w:val="008C1B4A"/>
    <w:rsid w:val="008C4036"/>
    <w:rsid w:val="008C5A1E"/>
    <w:rsid w:val="008D7AE9"/>
    <w:rsid w:val="008E352E"/>
    <w:rsid w:val="008E515C"/>
    <w:rsid w:val="008E6E00"/>
    <w:rsid w:val="008E750C"/>
    <w:rsid w:val="008E77F6"/>
    <w:rsid w:val="008E7885"/>
    <w:rsid w:val="008F2159"/>
    <w:rsid w:val="008F27CB"/>
    <w:rsid w:val="00902EBA"/>
    <w:rsid w:val="0091094C"/>
    <w:rsid w:val="0091679A"/>
    <w:rsid w:val="00917A3F"/>
    <w:rsid w:val="0092107C"/>
    <w:rsid w:val="0092421B"/>
    <w:rsid w:val="00927DE5"/>
    <w:rsid w:val="0093405B"/>
    <w:rsid w:val="009428A3"/>
    <w:rsid w:val="00944CB1"/>
    <w:rsid w:val="00944F39"/>
    <w:rsid w:val="009543D5"/>
    <w:rsid w:val="00956A74"/>
    <w:rsid w:val="009633AC"/>
    <w:rsid w:val="0097117B"/>
    <w:rsid w:val="009733FC"/>
    <w:rsid w:val="00973FD1"/>
    <w:rsid w:val="009812B8"/>
    <w:rsid w:val="009830D2"/>
    <w:rsid w:val="00991B2A"/>
    <w:rsid w:val="00992B0E"/>
    <w:rsid w:val="00996089"/>
    <w:rsid w:val="00996283"/>
    <w:rsid w:val="009A399C"/>
    <w:rsid w:val="009A6A13"/>
    <w:rsid w:val="009A77FE"/>
    <w:rsid w:val="009A7FCF"/>
    <w:rsid w:val="009B05F3"/>
    <w:rsid w:val="009B1F70"/>
    <w:rsid w:val="009B6486"/>
    <w:rsid w:val="009C1600"/>
    <w:rsid w:val="009C3807"/>
    <w:rsid w:val="009C399A"/>
    <w:rsid w:val="009D2C2B"/>
    <w:rsid w:val="009D50FC"/>
    <w:rsid w:val="009E0571"/>
    <w:rsid w:val="009E2159"/>
    <w:rsid w:val="009E4BB1"/>
    <w:rsid w:val="009E78CC"/>
    <w:rsid w:val="009F37D6"/>
    <w:rsid w:val="009F5432"/>
    <w:rsid w:val="009F618A"/>
    <w:rsid w:val="00A2524E"/>
    <w:rsid w:val="00A2653D"/>
    <w:rsid w:val="00A26846"/>
    <w:rsid w:val="00A32327"/>
    <w:rsid w:val="00A3283F"/>
    <w:rsid w:val="00A371B8"/>
    <w:rsid w:val="00A406B8"/>
    <w:rsid w:val="00A47E48"/>
    <w:rsid w:val="00A52F97"/>
    <w:rsid w:val="00A545FF"/>
    <w:rsid w:val="00A57839"/>
    <w:rsid w:val="00A6165B"/>
    <w:rsid w:val="00A652F8"/>
    <w:rsid w:val="00A71F8C"/>
    <w:rsid w:val="00A71FD6"/>
    <w:rsid w:val="00A8702D"/>
    <w:rsid w:val="00A95E5C"/>
    <w:rsid w:val="00A97F96"/>
    <w:rsid w:val="00AB1BC5"/>
    <w:rsid w:val="00AB3640"/>
    <w:rsid w:val="00AB3D45"/>
    <w:rsid w:val="00AB6A7B"/>
    <w:rsid w:val="00AB7B95"/>
    <w:rsid w:val="00AC00D6"/>
    <w:rsid w:val="00AC3603"/>
    <w:rsid w:val="00AC420A"/>
    <w:rsid w:val="00AD0D8E"/>
    <w:rsid w:val="00AE1D39"/>
    <w:rsid w:val="00AE245F"/>
    <w:rsid w:val="00AE6CC1"/>
    <w:rsid w:val="00AF6313"/>
    <w:rsid w:val="00AF641C"/>
    <w:rsid w:val="00AF7FB5"/>
    <w:rsid w:val="00B00175"/>
    <w:rsid w:val="00B00550"/>
    <w:rsid w:val="00B016E7"/>
    <w:rsid w:val="00B1269A"/>
    <w:rsid w:val="00B24CD1"/>
    <w:rsid w:val="00B25828"/>
    <w:rsid w:val="00B27754"/>
    <w:rsid w:val="00B37D34"/>
    <w:rsid w:val="00B439CC"/>
    <w:rsid w:val="00B46B6F"/>
    <w:rsid w:val="00B4756E"/>
    <w:rsid w:val="00B54E43"/>
    <w:rsid w:val="00B55AD6"/>
    <w:rsid w:val="00B5754F"/>
    <w:rsid w:val="00B6469D"/>
    <w:rsid w:val="00B70809"/>
    <w:rsid w:val="00B7508E"/>
    <w:rsid w:val="00B80807"/>
    <w:rsid w:val="00B814B2"/>
    <w:rsid w:val="00B930DE"/>
    <w:rsid w:val="00B95E41"/>
    <w:rsid w:val="00B97F44"/>
    <w:rsid w:val="00BA1E48"/>
    <w:rsid w:val="00BA3222"/>
    <w:rsid w:val="00BA3EB6"/>
    <w:rsid w:val="00BA57C3"/>
    <w:rsid w:val="00BA6690"/>
    <w:rsid w:val="00BB6412"/>
    <w:rsid w:val="00BB67D5"/>
    <w:rsid w:val="00BD0C14"/>
    <w:rsid w:val="00BD1336"/>
    <w:rsid w:val="00BD3DBC"/>
    <w:rsid w:val="00BD65C5"/>
    <w:rsid w:val="00BD65E8"/>
    <w:rsid w:val="00BD6A6B"/>
    <w:rsid w:val="00BE4475"/>
    <w:rsid w:val="00BE5B7A"/>
    <w:rsid w:val="00BE6F6C"/>
    <w:rsid w:val="00C0164E"/>
    <w:rsid w:val="00C04E2D"/>
    <w:rsid w:val="00C143AA"/>
    <w:rsid w:val="00C345ED"/>
    <w:rsid w:val="00C34B05"/>
    <w:rsid w:val="00C34CAE"/>
    <w:rsid w:val="00C420C1"/>
    <w:rsid w:val="00C4372A"/>
    <w:rsid w:val="00C46551"/>
    <w:rsid w:val="00C52E26"/>
    <w:rsid w:val="00C530EA"/>
    <w:rsid w:val="00C54696"/>
    <w:rsid w:val="00C54900"/>
    <w:rsid w:val="00C61253"/>
    <w:rsid w:val="00C61FAB"/>
    <w:rsid w:val="00C642B7"/>
    <w:rsid w:val="00C73822"/>
    <w:rsid w:val="00C74C36"/>
    <w:rsid w:val="00C82BFF"/>
    <w:rsid w:val="00C85793"/>
    <w:rsid w:val="00C8591B"/>
    <w:rsid w:val="00C85EC3"/>
    <w:rsid w:val="00C90B63"/>
    <w:rsid w:val="00C97AA8"/>
    <w:rsid w:val="00CA215C"/>
    <w:rsid w:val="00CA6F18"/>
    <w:rsid w:val="00CC1C99"/>
    <w:rsid w:val="00CC5178"/>
    <w:rsid w:val="00CC58D8"/>
    <w:rsid w:val="00CC6771"/>
    <w:rsid w:val="00CC6E72"/>
    <w:rsid w:val="00CD619C"/>
    <w:rsid w:val="00CD63D2"/>
    <w:rsid w:val="00CD79FD"/>
    <w:rsid w:val="00CE2FD4"/>
    <w:rsid w:val="00CE3A83"/>
    <w:rsid w:val="00CE3F0F"/>
    <w:rsid w:val="00CE4CF3"/>
    <w:rsid w:val="00CE5654"/>
    <w:rsid w:val="00CE6788"/>
    <w:rsid w:val="00CE7492"/>
    <w:rsid w:val="00CF4455"/>
    <w:rsid w:val="00CF4FEF"/>
    <w:rsid w:val="00D025DF"/>
    <w:rsid w:val="00D03806"/>
    <w:rsid w:val="00D074CC"/>
    <w:rsid w:val="00D10495"/>
    <w:rsid w:val="00D12537"/>
    <w:rsid w:val="00D16BF6"/>
    <w:rsid w:val="00D254A8"/>
    <w:rsid w:val="00D25877"/>
    <w:rsid w:val="00D25A09"/>
    <w:rsid w:val="00D2756F"/>
    <w:rsid w:val="00D27B97"/>
    <w:rsid w:val="00D30B9C"/>
    <w:rsid w:val="00D3317E"/>
    <w:rsid w:val="00D33F6B"/>
    <w:rsid w:val="00D34FFA"/>
    <w:rsid w:val="00D406AD"/>
    <w:rsid w:val="00D456F1"/>
    <w:rsid w:val="00D62283"/>
    <w:rsid w:val="00D62817"/>
    <w:rsid w:val="00D67075"/>
    <w:rsid w:val="00D7231E"/>
    <w:rsid w:val="00D72544"/>
    <w:rsid w:val="00D759D4"/>
    <w:rsid w:val="00D80AB5"/>
    <w:rsid w:val="00D827BF"/>
    <w:rsid w:val="00D843BB"/>
    <w:rsid w:val="00D8719A"/>
    <w:rsid w:val="00D87F90"/>
    <w:rsid w:val="00D90717"/>
    <w:rsid w:val="00D92422"/>
    <w:rsid w:val="00D93076"/>
    <w:rsid w:val="00D935BE"/>
    <w:rsid w:val="00DA6ACB"/>
    <w:rsid w:val="00DB2367"/>
    <w:rsid w:val="00DB6254"/>
    <w:rsid w:val="00DB6A66"/>
    <w:rsid w:val="00DC1A83"/>
    <w:rsid w:val="00DC4779"/>
    <w:rsid w:val="00DD5578"/>
    <w:rsid w:val="00DD5FF3"/>
    <w:rsid w:val="00DD6E15"/>
    <w:rsid w:val="00DE7520"/>
    <w:rsid w:val="00DF5CC6"/>
    <w:rsid w:val="00DF6223"/>
    <w:rsid w:val="00DF69B6"/>
    <w:rsid w:val="00E03E16"/>
    <w:rsid w:val="00E04E27"/>
    <w:rsid w:val="00E06CC0"/>
    <w:rsid w:val="00E07132"/>
    <w:rsid w:val="00E10FF9"/>
    <w:rsid w:val="00E15028"/>
    <w:rsid w:val="00E264BF"/>
    <w:rsid w:val="00E30202"/>
    <w:rsid w:val="00E323B6"/>
    <w:rsid w:val="00E353D1"/>
    <w:rsid w:val="00E4398A"/>
    <w:rsid w:val="00E45117"/>
    <w:rsid w:val="00E468AF"/>
    <w:rsid w:val="00E46FF3"/>
    <w:rsid w:val="00E505B9"/>
    <w:rsid w:val="00E575FA"/>
    <w:rsid w:val="00E607B0"/>
    <w:rsid w:val="00E651FE"/>
    <w:rsid w:val="00E65580"/>
    <w:rsid w:val="00E7687B"/>
    <w:rsid w:val="00E76D92"/>
    <w:rsid w:val="00E77DFF"/>
    <w:rsid w:val="00E854EB"/>
    <w:rsid w:val="00E867D9"/>
    <w:rsid w:val="00E967A3"/>
    <w:rsid w:val="00E96D4C"/>
    <w:rsid w:val="00E97562"/>
    <w:rsid w:val="00EA0553"/>
    <w:rsid w:val="00EA3A8C"/>
    <w:rsid w:val="00EA3F29"/>
    <w:rsid w:val="00EA65AD"/>
    <w:rsid w:val="00EA683D"/>
    <w:rsid w:val="00EB2148"/>
    <w:rsid w:val="00EB2F25"/>
    <w:rsid w:val="00EC0608"/>
    <w:rsid w:val="00EC0809"/>
    <w:rsid w:val="00EC6BC6"/>
    <w:rsid w:val="00ED2757"/>
    <w:rsid w:val="00ED2C65"/>
    <w:rsid w:val="00EE0687"/>
    <w:rsid w:val="00EE5D96"/>
    <w:rsid w:val="00EE5F2B"/>
    <w:rsid w:val="00EE72BE"/>
    <w:rsid w:val="00EF0806"/>
    <w:rsid w:val="00EF4F29"/>
    <w:rsid w:val="00EF528D"/>
    <w:rsid w:val="00F0095C"/>
    <w:rsid w:val="00F06FC7"/>
    <w:rsid w:val="00F110A4"/>
    <w:rsid w:val="00F11F7F"/>
    <w:rsid w:val="00F1382D"/>
    <w:rsid w:val="00F13FD3"/>
    <w:rsid w:val="00F1418D"/>
    <w:rsid w:val="00F14764"/>
    <w:rsid w:val="00F216CB"/>
    <w:rsid w:val="00F252D1"/>
    <w:rsid w:val="00F25C04"/>
    <w:rsid w:val="00F30D44"/>
    <w:rsid w:val="00F3596F"/>
    <w:rsid w:val="00F3791F"/>
    <w:rsid w:val="00F40127"/>
    <w:rsid w:val="00F41A98"/>
    <w:rsid w:val="00F43504"/>
    <w:rsid w:val="00F556C1"/>
    <w:rsid w:val="00F608F0"/>
    <w:rsid w:val="00F6106C"/>
    <w:rsid w:val="00F6568B"/>
    <w:rsid w:val="00F65D90"/>
    <w:rsid w:val="00F66791"/>
    <w:rsid w:val="00F83653"/>
    <w:rsid w:val="00F84E2E"/>
    <w:rsid w:val="00F856C5"/>
    <w:rsid w:val="00F85A62"/>
    <w:rsid w:val="00F93D72"/>
    <w:rsid w:val="00F95512"/>
    <w:rsid w:val="00F958E5"/>
    <w:rsid w:val="00F95CAC"/>
    <w:rsid w:val="00F97565"/>
    <w:rsid w:val="00FA0C15"/>
    <w:rsid w:val="00FA30E8"/>
    <w:rsid w:val="00FA362E"/>
    <w:rsid w:val="00FB3AB0"/>
    <w:rsid w:val="00FB5F10"/>
    <w:rsid w:val="00FB6960"/>
    <w:rsid w:val="00FC05D4"/>
    <w:rsid w:val="00FC0D0E"/>
    <w:rsid w:val="00FC3561"/>
    <w:rsid w:val="00FC3EBB"/>
    <w:rsid w:val="00FC499E"/>
    <w:rsid w:val="00FC70BF"/>
    <w:rsid w:val="00FC7395"/>
    <w:rsid w:val="00FD0D02"/>
    <w:rsid w:val="00FD2311"/>
    <w:rsid w:val="00FD5B7D"/>
    <w:rsid w:val="00FF1C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08ED1A"/>
  <w15:docId w15:val="{41108D55-1DBA-4282-B2F5-E091FD28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12"/>
    <w:pPr>
      <w:widowControl w:val="0"/>
    </w:pPr>
    <w:rPr>
      <w:sz w:val="20"/>
    </w:rPr>
  </w:style>
  <w:style w:type="paragraph" w:styleId="Heading1">
    <w:name w:val="heading 1"/>
    <w:basedOn w:val="Normal"/>
    <w:next w:val="Normal"/>
    <w:link w:val="Heading1Char"/>
    <w:uiPriority w:val="9"/>
    <w:qFormat/>
    <w:rsid w:val="00EC0809"/>
    <w:pPr>
      <w:keepNext/>
      <w:keepLines/>
      <w:widowControl/>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75F4"/>
    <w:pPr>
      <w:keepNext/>
      <w:keepLines/>
      <w:widowControl/>
      <w:numPr>
        <w:numId w:val="30"/>
      </w:numPr>
      <w:spacing w:before="200" w:after="0"/>
      <w:outlineLvl w:val="1"/>
    </w:pPr>
    <w:rPr>
      <w:rFonts w:eastAsiaTheme="majorEastAsia" w:cstheme="minorHAnsi"/>
      <w:b/>
      <w:bCs/>
      <w:color w:val="4F81BD" w:themeColor="accent1"/>
      <w:sz w:val="22"/>
    </w:rPr>
  </w:style>
  <w:style w:type="paragraph" w:styleId="Heading3">
    <w:name w:val="heading 3"/>
    <w:basedOn w:val="Heading2"/>
    <w:next w:val="Normal"/>
    <w:link w:val="Heading3Char"/>
    <w:uiPriority w:val="9"/>
    <w:unhideWhenUsed/>
    <w:qFormat/>
    <w:rsid w:val="00556DBF"/>
    <w:pPr>
      <w:numPr>
        <w:ilvl w:val="1"/>
      </w:numPr>
      <w:outlineLvl w:val="2"/>
    </w:pPr>
    <w:rPr>
      <w:sz w:val="20"/>
      <w:szCs w:val="20"/>
    </w:rPr>
  </w:style>
  <w:style w:type="paragraph" w:styleId="Heading4">
    <w:name w:val="heading 4"/>
    <w:basedOn w:val="Heading3"/>
    <w:next w:val="Normal"/>
    <w:link w:val="Heading4Char"/>
    <w:uiPriority w:val="9"/>
    <w:unhideWhenUsed/>
    <w:qFormat/>
    <w:rsid w:val="00CC5178"/>
    <w:pPr>
      <w:numPr>
        <w:ilvl w:val="2"/>
      </w:numPr>
      <w:outlineLvl w:val="3"/>
    </w:pPr>
  </w:style>
  <w:style w:type="paragraph" w:styleId="Heading5">
    <w:name w:val="heading 5"/>
    <w:basedOn w:val="Heading4"/>
    <w:next w:val="Normal"/>
    <w:link w:val="Heading5Char"/>
    <w:uiPriority w:val="9"/>
    <w:unhideWhenUsed/>
    <w:qFormat/>
    <w:rsid w:val="00A26846"/>
    <w:pPr>
      <w:numPr>
        <w:ilvl w:val="3"/>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809"/>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75F4"/>
    <w:rPr>
      <w:rFonts w:eastAsiaTheme="majorEastAsia" w:cstheme="minorHAnsi"/>
      <w:b/>
      <w:bCs/>
      <w:color w:val="4F81BD" w:themeColor="accent1"/>
    </w:rPr>
  </w:style>
  <w:style w:type="character" w:customStyle="1" w:styleId="Heading3Char">
    <w:name w:val="Heading 3 Char"/>
    <w:basedOn w:val="DefaultParagraphFont"/>
    <w:link w:val="Heading3"/>
    <w:uiPriority w:val="9"/>
    <w:rsid w:val="00556DBF"/>
    <w:rPr>
      <w:rFonts w:eastAsiaTheme="majorEastAsia" w:cstheme="minorHAnsi"/>
      <w:b/>
      <w:bCs/>
      <w:color w:val="4F81BD" w:themeColor="accent1"/>
      <w:sz w:val="20"/>
      <w:szCs w:val="20"/>
    </w:rPr>
  </w:style>
  <w:style w:type="character" w:customStyle="1" w:styleId="Heading4Char">
    <w:name w:val="Heading 4 Char"/>
    <w:basedOn w:val="DefaultParagraphFont"/>
    <w:link w:val="Heading4"/>
    <w:uiPriority w:val="9"/>
    <w:rsid w:val="00CC5178"/>
    <w:rPr>
      <w:rFonts w:eastAsiaTheme="majorEastAsia" w:cstheme="minorHAnsi"/>
      <w:b/>
      <w:bCs/>
      <w:color w:val="4F81BD" w:themeColor="accent1"/>
      <w:sz w:val="20"/>
      <w:szCs w:val="20"/>
    </w:rPr>
  </w:style>
  <w:style w:type="paragraph" w:styleId="Header">
    <w:name w:val="header"/>
    <w:basedOn w:val="Normal"/>
    <w:link w:val="HeaderChar"/>
    <w:uiPriority w:val="99"/>
    <w:unhideWhenUsed/>
    <w:rsid w:val="007B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54"/>
    <w:rPr>
      <w:lang w:val="en-US"/>
    </w:rPr>
  </w:style>
  <w:style w:type="paragraph" w:styleId="Footer">
    <w:name w:val="footer"/>
    <w:basedOn w:val="Normal"/>
    <w:link w:val="FooterChar"/>
    <w:uiPriority w:val="99"/>
    <w:unhideWhenUsed/>
    <w:rsid w:val="007B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54"/>
    <w:rPr>
      <w:lang w:val="en-US"/>
    </w:rPr>
  </w:style>
  <w:style w:type="paragraph" w:styleId="BalloonText">
    <w:name w:val="Balloon Text"/>
    <w:basedOn w:val="Normal"/>
    <w:link w:val="BalloonTextChar"/>
    <w:uiPriority w:val="99"/>
    <w:semiHidden/>
    <w:unhideWhenUsed/>
    <w:rsid w:val="007B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554"/>
    <w:rPr>
      <w:rFonts w:ascii="Tahoma" w:hAnsi="Tahoma" w:cs="Tahoma"/>
      <w:sz w:val="16"/>
      <w:szCs w:val="16"/>
      <w:lang w:val="en-US"/>
    </w:rPr>
  </w:style>
  <w:style w:type="paragraph" w:styleId="ListParagraph">
    <w:name w:val="List Paragraph"/>
    <w:basedOn w:val="Normal"/>
    <w:uiPriority w:val="34"/>
    <w:qFormat/>
    <w:rsid w:val="007B6554"/>
    <w:pPr>
      <w:ind w:left="720"/>
      <w:contextualSpacing/>
    </w:pPr>
  </w:style>
  <w:style w:type="character" w:styleId="Hyperlink">
    <w:name w:val="Hyperlink"/>
    <w:basedOn w:val="DefaultParagraphFont"/>
    <w:uiPriority w:val="99"/>
    <w:unhideWhenUsed/>
    <w:rsid w:val="007B6554"/>
    <w:rPr>
      <w:color w:val="0000FF" w:themeColor="hyperlink"/>
      <w:u w:val="single"/>
    </w:rPr>
  </w:style>
  <w:style w:type="numbering" w:customStyle="1" w:styleId="NoList1">
    <w:name w:val="No List1"/>
    <w:next w:val="NoList"/>
    <w:uiPriority w:val="99"/>
    <w:semiHidden/>
    <w:unhideWhenUsed/>
    <w:rsid w:val="007B6554"/>
  </w:style>
  <w:style w:type="numbering" w:customStyle="1" w:styleId="NoList2">
    <w:name w:val="No List2"/>
    <w:next w:val="NoList"/>
    <w:uiPriority w:val="99"/>
    <w:semiHidden/>
    <w:unhideWhenUsed/>
    <w:rsid w:val="007B6554"/>
  </w:style>
  <w:style w:type="numbering" w:customStyle="1" w:styleId="NoList3">
    <w:name w:val="No List3"/>
    <w:next w:val="NoList"/>
    <w:uiPriority w:val="99"/>
    <w:semiHidden/>
    <w:unhideWhenUsed/>
    <w:rsid w:val="007B6554"/>
  </w:style>
  <w:style w:type="character" w:customStyle="1" w:styleId="bodytext1">
    <w:name w:val="bodytext1"/>
    <w:basedOn w:val="DefaultParagraphFont"/>
    <w:rsid w:val="007B6554"/>
    <w:rPr>
      <w:rFonts w:ascii="Arial" w:hAnsi="Arial" w:cs="Arial" w:hint="default"/>
      <w:color w:val="000000"/>
      <w:sz w:val="19"/>
      <w:szCs w:val="19"/>
    </w:rPr>
  </w:style>
  <w:style w:type="paragraph" w:styleId="NormalWeb">
    <w:name w:val="Normal (Web)"/>
    <w:basedOn w:val="Normal"/>
    <w:uiPriority w:val="99"/>
    <w:rsid w:val="007B6554"/>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B6554"/>
    <w:rPr>
      <w:sz w:val="16"/>
      <w:szCs w:val="16"/>
    </w:rPr>
  </w:style>
  <w:style w:type="paragraph" w:styleId="CommentText">
    <w:name w:val="annotation text"/>
    <w:basedOn w:val="Normal"/>
    <w:link w:val="CommentTextChar"/>
    <w:uiPriority w:val="99"/>
    <w:semiHidden/>
    <w:unhideWhenUsed/>
    <w:rsid w:val="007B6554"/>
    <w:pPr>
      <w:spacing w:line="240" w:lineRule="auto"/>
    </w:pPr>
    <w:rPr>
      <w:szCs w:val="20"/>
    </w:rPr>
  </w:style>
  <w:style w:type="character" w:customStyle="1" w:styleId="CommentTextChar">
    <w:name w:val="Comment Text Char"/>
    <w:basedOn w:val="DefaultParagraphFont"/>
    <w:link w:val="CommentText"/>
    <w:uiPriority w:val="99"/>
    <w:semiHidden/>
    <w:rsid w:val="007B6554"/>
    <w:rPr>
      <w:sz w:val="20"/>
      <w:szCs w:val="20"/>
      <w:lang w:val="en-US"/>
    </w:rPr>
  </w:style>
  <w:style w:type="paragraph" w:styleId="CommentSubject">
    <w:name w:val="annotation subject"/>
    <w:basedOn w:val="CommentText"/>
    <w:next w:val="CommentText"/>
    <w:link w:val="CommentSubjectChar"/>
    <w:uiPriority w:val="99"/>
    <w:semiHidden/>
    <w:unhideWhenUsed/>
    <w:rsid w:val="007B6554"/>
    <w:rPr>
      <w:b/>
      <w:bCs/>
    </w:rPr>
  </w:style>
  <w:style w:type="character" w:customStyle="1" w:styleId="CommentSubjectChar">
    <w:name w:val="Comment Subject Char"/>
    <w:basedOn w:val="CommentTextChar"/>
    <w:link w:val="CommentSubject"/>
    <w:uiPriority w:val="99"/>
    <w:semiHidden/>
    <w:rsid w:val="007B6554"/>
    <w:rPr>
      <w:b/>
      <w:bCs/>
      <w:sz w:val="20"/>
      <w:szCs w:val="20"/>
      <w:lang w:val="en-US"/>
    </w:rPr>
  </w:style>
  <w:style w:type="character" w:styleId="FollowedHyperlink">
    <w:name w:val="FollowedHyperlink"/>
    <w:basedOn w:val="DefaultParagraphFont"/>
    <w:uiPriority w:val="99"/>
    <w:semiHidden/>
    <w:unhideWhenUsed/>
    <w:rsid w:val="007B6554"/>
    <w:rPr>
      <w:color w:val="800080" w:themeColor="followedHyperlink"/>
      <w:u w:val="single"/>
    </w:rPr>
  </w:style>
  <w:style w:type="paragraph" w:styleId="BodyText">
    <w:name w:val="Body Text"/>
    <w:basedOn w:val="Normal"/>
    <w:link w:val="BodyTextChar"/>
    <w:uiPriority w:val="99"/>
    <w:unhideWhenUsed/>
    <w:rsid w:val="007B6554"/>
    <w:pPr>
      <w:widowControl/>
      <w:spacing w:after="0" w:line="240" w:lineRule="auto"/>
    </w:pPr>
    <w:rPr>
      <w:rFonts w:ascii="Arial" w:hAnsi="Arial" w:cs="Arial"/>
      <w:sz w:val="26"/>
      <w:szCs w:val="26"/>
    </w:rPr>
  </w:style>
  <w:style w:type="character" w:customStyle="1" w:styleId="BodyTextChar">
    <w:name w:val="Body Text Char"/>
    <w:basedOn w:val="DefaultParagraphFont"/>
    <w:link w:val="BodyText"/>
    <w:uiPriority w:val="99"/>
    <w:rsid w:val="007B6554"/>
    <w:rPr>
      <w:rFonts w:ascii="Arial" w:hAnsi="Arial" w:cs="Arial"/>
      <w:sz w:val="26"/>
      <w:szCs w:val="26"/>
    </w:rPr>
  </w:style>
  <w:style w:type="paragraph" w:styleId="BodyTextIndent2">
    <w:name w:val="Body Text Indent 2"/>
    <w:basedOn w:val="Normal"/>
    <w:link w:val="BodyTextIndent2Char"/>
    <w:uiPriority w:val="99"/>
    <w:semiHidden/>
    <w:unhideWhenUsed/>
    <w:rsid w:val="007B6554"/>
    <w:pPr>
      <w:spacing w:after="120" w:line="480" w:lineRule="auto"/>
      <w:ind w:left="283"/>
    </w:pPr>
  </w:style>
  <w:style w:type="character" w:customStyle="1" w:styleId="BodyTextIndent2Char">
    <w:name w:val="Body Text Indent 2 Char"/>
    <w:basedOn w:val="DefaultParagraphFont"/>
    <w:link w:val="BodyTextIndent2"/>
    <w:uiPriority w:val="99"/>
    <w:semiHidden/>
    <w:rsid w:val="007B6554"/>
    <w:rPr>
      <w:lang w:val="en-US"/>
    </w:rPr>
  </w:style>
  <w:style w:type="paragraph" w:styleId="BodyTextIndent">
    <w:name w:val="Body Text Indent"/>
    <w:basedOn w:val="Normal"/>
    <w:link w:val="BodyTextIndentChar"/>
    <w:uiPriority w:val="99"/>
    <w:semiHidden/>
    <w:unhideWhenUsed/>
    <w:rsid w:val="005F1364"/>
    <w:pPr>
      <w:spacing w:after="120"/>
      <w:ind w:left="283"/>
    </w:pPr>
  </w:style>
  <w:style w:type="character" w:customStyle="1" w:styleId="BodyTextIndentChar">
    <w:name w:val="Body Text Indent Char"/>
    <w:basedOn w:val="DefaultParagraphFont"/>
    <w:link w:val="BodyTextIndent"/>
    <w:uiPriority w:val="99"/>
    <w:semiHidden/>
    <w:rsid w:val="005F1364"/>
    <w:rPr>
      <w:lang w:val="en-US"/>
    </w:rPr>
  </w:style>
  <w:style w:type="paragraph" w:customStyle="1" w:styleId="Subsubhead">
    <w:name w:val="Subsubhead"/>
    <w:basedOn w:val="Normal"/>
    <w:next w:val="Normal"/>
    <w:link w:val="SubsubheadChar"/>
    <w:rsid w:val="005F1364"/>
    <w:pPr>
      <w:widowControl/>
      <w:overflowPunct w:val="0"/>
      <w:autoSpaceDE w:val="0"/>
      <w:autoSpaceDN w:val="0"/>
      <w:adjustRightInd w:val="0"/>
      <w:spacing w:before="72" w:after="216" w:line="328" w:lineRule="exact"/>
      <w:ind w:left="720"/>
      <w:jc w:val="both"/>
      <w:textAlignment w:val="baseline"/>
    </w:pPr>
    <w:rPr>
      <w:rFonts w:ascii="Times New Roman" w:eastAsia="Times New Roman" w:hAnsi="Times New Roman" w:cs="Times New Roman"/>
      <w:b/>
      <w:sz w:val="28"/>
      <w:szCs w:val="20"/>
      <w:lang w:eastAsia="en-GB"/>
    </w:rPr>
  </w:style>
  <w:style w:type="paragraph" w:customStyle="1" w:styleId="Subhead">
    <w:name w:val="Subhead"/>
    <w:basedOn w:val="Subsubhead"/>
    <w:next w:val="Subsubhead"/>
    <w:rsid w:val="005F1364"/>
    <w:pPr>
      <w:keepNext/>
      <w:spacing w:before="144" w:after="288" w:line="374" w:lineRule="exact"/>
    </w:pPr>
    <w:rPr>
      <w:caps/>
      <w:sz w:val="32"/>
    </w:rPr>
  </w:style>
  <w:style w:type="character" w:customStyle="1" w:styleId="SubsubheadChar">
    <w:name w:val="Subsubhead Char"/>
    <w:link w:val="Subsubhead"/>
    <w:rsid w:val="005F1364"/>
    <w:rPr>
      <w:rFonts w:ascii="Times New Roman" w:eastAsia="Times New Roman" w:hAnsi="Times New Roman" w:cs="Times New Roman"/>
      <w:b/>
      <w:sz w:val="28"/>
      <w:szCs w:val="20"/>
      <w:lang w:eastAsia="en-GB"/>
    </w:rPr>
  </w:style>
  <w:style w:type="character" w:customStyle="1" w:styleId="ms-sitemapdirectional">
    <w:name w:val="ms-sitemapdirectional"/>
    <w:basedOn w:val="DefaultParagraphFont"/>
    <w:rsid w:val="005F1364"/>
  </w:style>
  <w:style w:type="paragraph" w:styleId="NoSpacing">
    <w:name w:val="No Spacing"/>
    <w:link w:val="NoSpacingChar"/>
    <w:uiPriority w:val="1"/>
    <w:qFormat/>
    <w:rsid w:val="00461512"/>
    <w:pPr>
      <w:widowControl w:val="0"/>
      <w:spacing w:after="0" w:line="240" w:lineRule="auto"/>
    </w:pPr>
    <w:rPr>
      <w:sz w:val="20"/>
      <w:lang w:val="en-US"/>
    </w:rPr>
  </w:style>
  <w:style w:type="paragraph" w:styleId="BodyText2">
    <w:name w:val="Body Text 2"/>
    <w:basedOn w:val="Normal"/>
    <w:link w:val="BodyText2Char"/>
    <w:uiPriority w:val="99"/>
    <w:unhideWhenUsed/>
    <w:rsid w:val="00373A53"/>
    <w:pPr>
      <w:spacing w:after="120" w:line="480" w:lineRule="auto"/>
    </w:pPr>
  </w:style>
  <w:style w:type="character" w:customStyle="1" w:styleId="BodyText2Char">
    <w:name w:val="Body Text 2 Char"/>
    <w:basedOn w:val="DefaultParagraphFont"/>
    <w:link w:val="BodyText2"/>
    <w:uiPriority w:val="99"/>
    <w:rsid w:val="00373A53"/>
  </w:style>
  <w:style w:type="character" w:styleId="Emphasis">
    <w:name w:val="Emphasis"/>
    <w:basedOn w:val="DefaultParagraphFont"/>
    <w:uiPriority w:val="20"/>
    <w:qFormat/>
    <w:rsid w:val="007B3B63"/>
    <w:rPr>
      <w:i/>
      <w:iCs/>
    </w:rPr>
  </w:style>
  <w:style w:type="paragraph" w:styleId="ListBullet">
    <w:name w:val="List Bullet"/>
    <w:basedOn w:val="Normal"/>
    <w:semiHidden/>
    <w:rsid w:val="00D025DF"/>
    <w:pPr>
      <w:widowControl/>
      <w:numPr>
        <w:numId w:val="1"/>
      </w:numPr>
      <w:tabs>
        <w:tab w:val="left" w:pos="720"/>
        <w:tab w:val="left" w:pos="1008"/>
        <w:tab w:val="left" w:pos="1296"/>
      </w:tabs>
      <w:spacing w:after="0" w:line="240" w:lineRule="auto"/>
      <w:jc w:val="both"/>
    </w:pPr>
    <w:rPr>
      <w:rFonts w:ascii="Times New Roman" w:eastAsia="Times New Roman" w:hAnsi="Times New Roman" w:cs="Times New Roman"/>
      <w:sz w:val="24"/>
      <w:szCs w:val="24"/>
      <w:lang w:eastAsia="en-GB"/>
    </w:rPr>
  </w:style>
  <w:style w:type="paragraph" w:styleId="ListBullet2">
    <w:name w:val="List Bullet 2"/>
    <w:basedOn w:val="Normal"/>
    <w:semiHidden/>
    <w:rsid w:val="00D025DF"/>
    <w:pPr>
      <w:widowControl/>
      <w:numPr>
        <w:ilvl w:val="2"/>
        <w:numId w:val="1"/>
      </w:numPr>
      <w:tabs>
        <w:tab w:val="left" w:pos="720"/>
        <w:tab w:val="left" w:pos="1008"/>
        <w:tab w:val="left" w:pos="1440"/>
      </w:tabs>
      <w:spacing w:after="0" w:line="240" w:lineRule="auto"/>
      <w:jc w:val="both"/>
    </w:pPr>
    <w:rPr>
      <w:rFonts w:ascii="Times New Roman" w:eastAsia="Times New Roman" w:hAnsi="Times New Roman" w:cs="Times New Roman"/>
      <w:sz w:val="24"/>
      <w:szCs w:val="24"/>
    </w:rPr>
  </w:style>
  <w:style w:type="paragraph" w:styleId="ListContinue">
    <w:name w:val="List Continue"/>
    <w:basedOn w:val="Normal"/>
    <w:next w:val="Normal"/>
    <w:semiHidden/>
    <w:rsid w:val="00D025DF"/>
    <w:pPr>
      <w:widowControl/>
      <w:numPr>
        <w:ilvl w:val="1"/>
        <w:numId w:val="1"/>
      </w:numPr>
      <w:tabs>
        <w:tab w:val="left" w:pos="576"/>
      </w:tabs>
      <w:spacing w:after="240" w:line="240" w:lineRule="auto"/>
      <w:jc w:val="both"/>
    </w:pPr>
    <w:rPr>
      <w:rFonts w:ascii="Times New Roman" w:eastAsia="Times New Roman" w:hAnsi="Times New Roman" w:cs="Times New Roman"/>
      <w:sz w:val="24"/>
      <w:szCs w:val="24"/>
    </w:rPr>
  </w:style>
  <w:style w:type="paragraph" w:styleId="ListContinue2">
    <w:name w:val="List Continue 2"/>
    <w:basedOn w:val="Normal"/>
    <w:semiHidden/>
    <w:rsid w:val="00D025DF"/>
    <w:pPr>
      <w:widowControl/>
      <w:numPr>
        <w:ilvl w:val="3"/>
        <w:numId w:val="1"/>
      </w:num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paragraph" w:styleId="Revision">
    <w:name w:val="Revision"/>
    <w:hidden/>
    <w:uiPriority w:val="99"/>
    <w:semiHidden/>
    <w:rsid w:val="00D72544"/>
    <w:pPr>
      <w:spacing w:after="0" w:line="240" w:lineRule="auto"/>
    </w:pPr>
  </w:style>
  <w:style w:type="table" w:styleId="TableGrid">
    <w:name w:val="Table Grid"/>
    <w:basedOn w:val="TableNormal"/>
    <w:uiPriority w:val="59"/>
    <w:rsid w:val="0046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97717"/>
    <w:pPr>
      <w:widowControl/>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97717"/>
    <w:rPr>
      <w:rFonts w:ascii="Calibri" w:hAnsi="Calibri"/>
      <w:szCs w:val="21"/>
    </w:rPr>
  </w:style>
  <w:style w:type="paragraph" w:customStyle="1" w:styleId="Gogglelist">
    <w:name w:val="Goggle list"/>
    <w:basedOn w:val="Normal"/>
    <w:link w:val="GogglelistChar"/>
    <w:qFormat/>
    <w:rsid w:val="00497717"/>
    <w:pPr>
      <w:spacing w:line="240" w:lineRule="auto"/>
      <w:jc w:val="both"/>
    </w:pPr>
    <w:rPr>
      <w:rFonts w:cstheme="minorHAnsi"/>
      <w:szCs w:val="20"/>
    </w:rPr>
  </w:style>
  <w:style w:type="paragraph" w:customStyle="1" w:styleId="Level2paragraph">
    <w:name w:val="Level 2 paragraph"/>
    <w:basedOn w:val="Heading3"/>
    <w:link w:val="Level2paragraphChar"/>
    <w:qFormat/>
    <w:rsid w:val="00CC5178"/>
    <w:rPr>
      <w:b w:val="0"/>
      <w:color w:val="auto"/>
      <w:spacing w:val="3"/>
    </w:rPr>
  </w:style>
  <w:style w:type="character" w:customStyle="1" w:styleId="GogglelistChar">
    <w:name w:val="Goggle list Char"/>
    <w:basedOn w:val="DefaultParagraphFont"/>
    <w:link w:val="Gogglelist"/>
    <w:rsid w:val="00497717"/>
    <w:rPr>
      <w:rFonts w:cstheme="minorHAnsi"/>
      <w:sz w:val="20"/>
      <w:szCs w:val="20"/>
    </w:rPr>
  </w:style>
  <w:style w:type="paragraph" w:customStyle="1" w:styleId="Paragraph">
    <w:name w:val="Paragraph"/>
    <w:basedOn w:val="Normal"/>
    <w:link w:val="ParagraphChar"/>
    <w:qFormat/>
    <w:rsid w:val="002A75F4"/>
    <w:pPr>
      <w:spacing w:after="0" w:line="200" w:lineRule="exact"/>
      <w:ind w:left="851"/>
      <w:jc w:val="both"/>
    </w:pPr>
    <w:rPr>
      <w:rFonts w:eastAsia="Arial" w:cstheme="minorHAnsi"/>
      <w:szCs w:val="20"/>
    </w:rPr>
  </w:style>
  <w:style w:type="character" w:customStyle="1" w:styleId="Level2paragraphChar">
    <w:name w:val="Level 2 paragraph Char"/>
    <w:basedOn w:val="Heading3Char"/>
    <w:link w:val="Level2paragraph"/>
    <w:rsid w:val="00CC5178"/>
    <w:rPr>
      <w:rFonts w:eastAsiaTheme="majorEastAsia" w:cstheme="minorHAnsi"/>
      <w:b w:val="0"/>
      <w:bCs/>
      <w:color w:val="4F81BD" w:themeColor="accent1"/>
      <w:spacing w:val="3"/>
      <w:sz w:val="20"/>
      <w:szCs w:val="20"/>
    </w:rPr>
  </w:style>
  <w:style w:type="paragraph" w:customStyle="1" w:styleId="Level3paragraph">
    <w:name w:val="Level 3 paragraph"/>
    <w:basedOn w:val="Heading4"/>
    <w:link w:val="Level3paragraphChar"/>
    <w:qFormat/>
    <w:rsid w:val="00F65D90"/>
    <w:pPr>
      <w:keepNext w:val="0"/>
    </w:pPr>
    <w:rPr>
      <w:b w:val="0"/>
      <w:color w:val="auto"/>
      <w:spacing w:val="-1"/>
    </w:rPr>
  </w:style>
  <w:style w:type="character" w:customStyle="1" w:styleId="ParagraphChar">
    <w:name w:val="Paragraph Char"/>
    <w:basedOn w:val="DefaultParagraphFont"/>
    <w:link w:val="Paragraph"/>
    <w:rsid w:val="002A75F4"/>
    <w:rPr>
      <w:rFonts w:eastAsia="Arial" w:cstheme="minorHAnsi"/>
      <w:sz w:val="20"/>
      <w:szCs w:val="20"/>
    </w:rPr>
  </w:style>
  <w:style w:type="character" w:customStyle="1" w:styleId="Level3paragraphChar">
    <w:name w:val="Level 3 paragraph Char"/>
    <w:basedOn w:val="Heading4Char"/>
    <w:link w:val="Level3paragraph"/>
    <w:rsid w:val="00F65D90"/>
    <w:rPr>
      <w:rFonts w:eastAsiaTheme="majorEastAsia" w:cstheme="minorHAnsi"/>
      <w:b w:val="0"/>
      <w:bCs/>
      <w:color w:val="4F81BD" w:themeColor="accent1"/>
      <w:spacing w:val="-1"/>
      <w:sz w:val="20"/>
      <w:szCs w:val="20"/>
    </w:rPr>
  </w:style>
  <w:style w:type="paragraph" w:styleId="TOCHeading">
    <w:name w:val="TOC Heading"/>
    <w:basedOn w:val="Heading1"/>
    <w:next w:val="Normal"/>
    <w:uiPriority w:val="39"/>
    <w:unhideWhenUsed/>
    <w:qFormat/>
    <w:rsid w:val="00F93D72"/>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AC3603"/>
    <w:pPr>
      <w:tabs>
        <w:tab w:val="left" w:pos="660"/>
        <w:tab w:val="right" w:leader="dot" w:pos="10150"/>
      </w:tabs>
      <w:spacing w:after="100"/>
      <w:ind w:left="200"/>
    </w:pPr>
  </w:style>
  <w:style w:type="paragraph" w:styleId="TOC3">
    <w:name w:val="toc 3"/>
    <w:basedOn w:val="Normal"/>
    <w:next w:val="Normal"/>
    <w:autoRedefine/>
    <w:uiPriority w:val="39"/>
    <w:unhideWhenUsed/>
    <w:rsid w:val="00F93D72"/>
    <w:pPr>
      <w:spacing w:after="100"/>
      <w:ind w:left="400"/>
    </w:pPr>
  </w:style>
  <w:style w:type="paragraph" w:styleId="TOC1">
    <w:name w:val="toc 1"/>
    <w:basedOn w:val="Normal"/>
    <w:next w:val="Normal"/>
    <w:autoRedefine/>
    <w:uiPriority w:val="39"/>
    <w:unhideWhenUsed/>
    <w:rsid w:val="00F93D72"/>
    <w:pPr>
      <w:widowControl/>
      <w:spacing w:after="100" w:line="259" w:lineRule="auto"/>
    </w:pPr>
    <w:rPr>
      <w:rFonts w:eastAsiaTheme="minorEastAsia"/>
      <w:sz w:val="22"/>
      <w:lang w:eastAsia="en-GB"/>
    </w:rPr>
  </w:style>
  <w:style w:type="paragraph" w:styleId="TOC4">
    <w:name w:val="toc 4"/>
    <w:basedOn w:val="Normal"/>
    <w:next w:val="Normal"/>
    <w:autoRedefine/>
    <w:uiPriority w:val="39"/>
    <w:unhideWhenUsed/>
    <w:rsid w:val="00F93D72"/>
    <w:pPr>
      <w:widowControl/>
      <w:spacing w:after="100" w:line="259" w:lineRule="auto"/>
      <w:ind w:left="660"/>
    </w:pPr>
    <w:rPr>
      <w:rFonts w:eastAsiaTheme="minorEastAsia"/>
      <w:sz w:val="22"/>
      <w:lang w:eastAsia="en-GB"/>
    </w:rPr>
  </w:style>
  <w:style w:type="paragraph" w:styleId="TOC5">
    <w:name w:val="toc 5"/>
    <w:basedOn w:val="Normal"/>
    <w:next w:val="Normal"/>
    <w:autoRedefine/>
    <w:uiPriority w:val="39"/>
    <w:unhideWhenUsed/>
    <w:rsid w:val="00F93D72"/>
    <w:pPr>
      <w:widowControl/>
      <w:spacing w:after="100" w:line="259" w:lineRule="auto"/>
      <w:ind w:left="880"/>
    </w:pPr>
    <w:rPr>
      <w:rFonts w:eastAsiaTheme="minorEastAsia"/>
      <w:sz w:val="22"/>
      <w:lang w:eastAsia="en-GB"/>
    </w:rPr>
  </w:style>
  <w:style w:type="paragraph" w:styleId="TOC6">
    <w:name w:val="toc 6"/>
    <w:basedOn w:val="Normal"/>
    <w:next w:val="Normal"/>
    <w:autoRedefine/>
    <w:uiPriority w:val="39"/>
    <w:unhideWhenUsed/>
    <w:rsid w:val="00F93D72"/>
    <w:pPr>
      <w:widowControl/>
      <w:spacing w:after="100" w:line="259" w:lineRule="auto"/>
      <w:ind w:left="1100"/>
    </w:pPr>
    <w:rPr>
      <w:rFonts w:eastAsiaTheme="minorEastAsia"/>
      <w:sz w:val="22"/>
      <w:lang w:eastAsia="en-GB"/>
    </w:rPr>
  </w:style>
  <w:style w:type="paragraph" w:styleId="TOC7">
    <w:name w:val="toc 7"/>
    <w:basedOn w:val="Normal"/>
    <w:next w:val="Normal"/>
    <w:autoRedefine/>
    <w:uiPriority w:val="39"/>
    <w:unhideWhenUsed/>
    <w:rsid w:val="00F93D72"/>
    <w:pPr>
      <w:widowControl/>
      <w:spacing w:after="100" w:line="259" w:lineRule="auto"/>
      <w:ind w:left="1320"/>
    </w:pPr>
    <w:rPr>
      <w:rFonts w:eastAsiaTheme="minorEastAsia"/>
      <w:sz w:val="22"/>
      <w:lang w:eastAsia="en-GB"/>
    </w:rPr>
  </w:style>
  <w:style w:type="paragraph" w:styleId="TOC8">
    <w:name w:val="toc 8"/>
    <w:basedOn w:val="Normal"/>
    <w:next w:val="Normal"/>
    <w:autoRedefine/>
    <w:uiPriority w:val="39"/>
    <w:unhideWhenUsed/>
    <w:rsid w:val="00F93D72"/>
    <w:pPr>
      <w:widowControl/>
      <w:spacing w:after="100" w:line="259" w:lineRule="auto"/>
      <w:ind w:left="1540"/>
    </w:pPr>
    <w:rPr>
      <w:rFonts w:eastAsiaTheme="minorEastAsia"/>
      <w:sz w:val="22"/>
      <w:lang w:eastAsia="en-GB"/>
    </w:rPr>
  </w:style>
  <w:style w:type="paragraph" w:styleId="TOC9">
    <w:name w:val="toc 9"/>
    <w:basedOn w:val="Normal"/>
    <w:next w:val="Normal"/>
    <w:autoRedefine/>
    <w:uiPriority w:val="39"/>
    <w:unhideWhenUsed/>
    <w:rsid w:val="00F93D72"/>
    <w:pPr>
      <w:widowControl/>
      <w:spacing w:after="100" w:line="259" w:lineRule="auto"/>
      <w:ind w:left="1760"/>
    </w:pPr>
    <w:rPr>
      <w:rFonts w:eastAsiaTheme="minorEastAsia"/>
      <w:sz w:val="22"/>
      <w:lang w:eastAsia="en-GB"/>
    </w:rPr>
  </w:style>
  <w:style w:type="paragraph" w:customStyle="1" w:styleId="Default">
    <w:name w:val="Default"/>
    <w:rsid w:val="00EC08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Heading1"/>
    <w:link w:val="Style1Char"/>
    <w:qFormat/>
    <w:rsid w:val="00EC0809"/>
    <w:pPr>
      <w:keepNext w:val="0"/>
      <w:keepLines w:val="0"/>
      <w:numPr>
        <w:numId w:val="4"/>
      </w:numPr>
      <w:spacing w:before="0" w:after="200"/>
    </w:pPr>
    <w:rPr>
      <w:rFonts w:eastAsiaTheme="minorEastAsia"/>
      <w:b w:val="0"/>
      <w:bCs w:val="0"/>
      <w:lang w:val="en-US"/>
    </w:rPr>
  </w:style>
  <w:style w:type="character" w:customStyle="1" w:styleId="Style1Char">
    <w:name w:val="Style1 Char"/>
    <w:basedOn w:val="Heading1Char"/>
    <w:link w:val="Style1"/>
    <w:rsid w:val="00EC0809"/>
    <w:rPr>
      <w:rFonts w:eastAsiaTheme="minorEastAsia" w:cstheme="majorBidi"/>
      <w:b w:val="0"/>
      <w:bCs w:val="0"/>
      <w:color w:val="365F91" w:themeColor="accent1" w:themeShade="BF"/>
      <w:sz w:val="28"/>
      <w:szCs w:val="28"/>
      <w:lang w:val="en-US"/>
    </w:rPr>
  </w:style>
  <w:style w:type="character" w:customStyle="1" w:styleId="Heading5Char">
    <w:name w:val="Heading 5 Char"/>
    <w:basedOn w:val="DefaultParagraphFont"/>
    <w:link w:val="Heading5"/>
    <w:uiPriority w:val="9"/>
    <w:rsid w:val="00A26846"/>
    <w:rPr>
      <w:rFonts w:eastAsiaTheme="majorEastAsia" w:cstheme="minorHAnsi"/>
      <w:b/>
      <w:bCs/>
      <w:color w:val="4F81BD" w:themeColor="accent1"/>
      <w:sz w:val="20"/>
      <w:szCs w:val="20"/>
    </w:rPr>
  </w:style>
  <w:style w:type="paragraph" w:customStyle="1" w:styleId="Style3">
    <w:name w:val="Style 3"/>
    <w:basedOn w:val="NoSpacing"/>
    <w:link w:val="Style3Char"/>
    <w:qFormat/>
    <w:rsid w:val="00A26846"/>
    <w:pPr>
      <w:widowControl/>
      <w:numPr>
        <w:numId w:val="5"/>
      </w:numPr>
      <w:spacing w:after="200" w:line="276" w:lineRule="auto"/>
      <w:jc w:val="both"/>
    </w:pPr>
    <w:rPr>
      <w:lang w:val="en-GB"/>
    </w:rPr>
  </w:style>
  <w:style w:type="character" w:styleId="Strong">
    <w:name w:val="Strong"/>
    <w:basedOn w:val="DefaultParagraphFont"/>
    <w:uiPriority w:val="22"/>
    <w:qFormat/>
    <w:rsid w:val="00E575FA"/>
    <w:rPr>
      <w:b/>
      <w:bCs/>
    </w:rPr>
  </w:style>
  <w:style w:type="character" w:customStyle="1" w:styleId="NoSpacingChar">
    <w:name w:val="No Spacing Char"/>
    <w:basedOn w:val="DefaultParagraphFont"/>
    <w:link w:val="NoSpacing"/>
    <w:uiPriority w:val="1"/>
    <w:rsid w:val="00A26846"/>
    <w:rPr>
      <w:sz w:val="20"/>
      <w:lang w:val="en-US"/>
    </w:rPr>
  </w:style>
  <w:style w:type="character" w:customStyle="1" w:styleId="Style3Char">
    <w:name w:val="Style 3 Char"/>
    <w:basedOn w:val="NoSpacingChar"/>
    <w:link w:val="Style3"/>
    <w:rsid w:val="00A26846"/>
    <w:rPr>
      <w:sz w:val="20"/>
      <w:lang w:val="en-US"/>
    </w:rPr>
  </w:style>
  <w:style w:type="paragraph" w:customStyle="1" w:styleId="Level1Heading">
    <w:name w:val="Level 1 Heading"/>
    <w:basedOn w:val="Normal"/>
    <w:next w:val="Level2Number"/>
    <w:uiPriority w:val="6"/>
    <w:rsid w:val="0000215C"/>
    <w:pPr>
      <w:keepNext/>
      <w:keepLines/>
      <w:widowControl/>
      <w:numPr>
        <w:numId w:val="8"/>
      </w:numPr>
      <w:spacing w:after="240" w:line="240" w:lineRule="auto"/>
      <w:outlineLvl w:val="0"/>
    </w:pPr>
    <w:rPr>
      <w:rFonts w:ascii="Arial Bold" w:hAnsi="Arial Bold"/>
      <w:b/>
      <w:caps/>
      <w:szCs w:val="20"/>
    </w:rPr>
  </w:style>
  <w:style w:type="paragraph" w:customStyle="1" w:styleId="Level2Number">
    <w:name w:val="Level 2 Number"/>
    <w:basedOn w:val="Normal"/>
    <w:uiPriority w:val="8"/>
    <w:rsid w:val="0000215C"/>
    <w:pPr>
      <w:widowControl/>
      <w:numPr>
        <w:ilvl w:val="1"/>
        <w:numId w:val="8"/>
      </w:numPr>
      <w:spacing w:after="240" w:line="240" w:lineRule="auto"/>
    </w:pPr>
    <w:rPr>
      <w:rFonts w:ascii="Arial" w:hAnsi="Arial"/>
      <w:szCs w:val="20"/>
    </w:rPr>
  </w:style>
  <w:style w:type="paragraph" w:customStyle="1" w:styleId="Level3Number">
    <w:name w:val="Level 3 Number"/>
    <w:basedOn w:val="Normal"/>
    <w:uiPriority w:val="8"/>
    <w:rsid w:val="0000215C"/>
    <w:pPr>
      <w:widowControl/>
      <w:numPr>
        <w:ilvl w:val="2"/>
        <w:numId w:val="8"/>
      </w:numPr>
      <w:spacing w:after="240" w:line="240" w:lineRule="auto"/>
    </w:pPr>
    <w:rPr>
      <w:rFonts w:ascii="Arial" w:hAnsi="Arial"/>
      <w:szCs w:val="20"/>
    </w:rPr>
  </w:style>
  <w:style w:type="paragraph" w:customStyle="1" w:styleId="Level4Number">
    <w:name w:val="Level 4 Number"/>
    <w:basedOn w:val="Normal"/>
    <w:uiPriority w:val="8"/>
    <w:rsid w:val="0000215C"/>
    <w:pPr>
      <w:widowControl/>
      <w:numPr>
        <w:ilvl w:val="3"/>
        <w:numId w:val="8"/>
      </w:numPr>
      <w:spacing w:after="240" w:line="240" w:lineRule="auto"/>
    </w:pPr>
    <w:rPr>
      <w:rFonts w:ascii="Arial" w:hAnsi="Arial"/>
      <w:szCs w:val="20"/>
    </w:rPr>
  </w:style>
  <w:style w:type="paragraph" w:customStyle="1" w:styleId="Level5Number">
    <w:name w:val="Level 5 Number"/>
    <w:basedOn w:val="Normal"/>
    <w:uiPriority w:val="8"/>
    <w:rsid w:val="0000215C"/>
    <w:pPr>
      <w:widowControl/>
      <w:numPr>
        <w:ilvl w:val="4"/>
        <w:numId w:val="8"/>
      </w:numPr>
      <w:spacing w:after="240" w:line="240" w:lineRule="auto"/>
    </w:pPr>
    <w:rPr>
      <w:rFonts w:ascii="Arial" w:hAnsi="Arial"/>
      <w:szCs w:val="20"/>
    </w:rPr>
  </w:style>
  <w:style w:type="paragraph" w:customStyle="1" w:styleId="Level6Number">
    <w:name w:val="Level 6 Number"/>
    <w:basedOn w:val="Normal"/>
    <w:uiPriority w:val="8"/>
    <w:rsid w:val="0000215C"/>
    <w:pPr>
      <w:widowControl/>
      <w:numPr>
        <w:ilvl w:val="5"/>
        <w:numId w:val="8"/>
      </w:numPr>
      <w:spacing w:after="240" w:line="240" w:lineRule="auto"/>
    </w:pPr>
    <w:rPr>
      <w:rFonts w:ascii="Arial" w:hAnsi="Arial"/>
      <w:szCs w:val="20"/>
    </w:rPr>
  </w:style>
  <w:style w:type="numbering" w:customStyle="1" w:styleId="NumbListLegal">
    <w:name w:val="NumbList Legal"/>
    <w:uiPriority w:val="99"/>
    <w:rsid w:val="0000215C"/>
    <w:pPr>
      <w:numPr>
        <w:numId w:val="7"/>
      </w:numPr>
    </w:pPr>
  </w:style>
  <w:style w:type="paragraph" w:customStyle="1" w:styleId="Pa14">
    <w:name w:val="Pa14"/>
    <w:basedOn w:val="Default"/>
    <w:next w:val="Default"/>
    <w:uiPriority w:val="99"/>
    <w:rsid w:val="0000215C"/>
    <w:pPr>
      <w:spacing w:line="18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0101">
      <w:bodyDiv w:val="1"/>
      <w:marLeft w:val="0"/>
      <w:marRight w:val="0"/>
      <w:marTop w:val="0"/>
      <w:marBottom w:val="0"/>
      <w:divBdr>
        <w:top w:val="none" w:sz="0" w:space="0" w:color="auto"/>
        <w:left w:val="none" w:sz="0" w:space="0" w:color="auto"/>
        <w:bottom w:val="none" w:sz="0" w:space="0" w:color="auto"/>
        <w:right w:val="none" w:sz="0" w:space="0" w:color="auto"/>
      </w:divBdr>
    </w:div>
    <w:div w:id="695348423">
      <w:bodyDiv w:val="1"/>
      <w:marLeft w:val="0"/>
      <w:marRight w:val="0"/>
      <w:marTop w:val="0"/>
      <w:marBottom w:val="0"/>
      <w:divBdr>
        <w:top w:val="none" w:sz="0" w:space="0" w:color="auto"/>
        <w:left w:val="none" w:sz="0" w:space="0" w:color="auto"/>
        <w:bottom w:val="none" w:sz="0" w:space="0" w:color="auto"/>
        <w:right w:val="none" w:sz="0" w:space="0" w:color="auto"/>
      </w:divBdr>
    </w:div>
    <w:div w:id="1495029559">
      <w:bodyDiv w:val="1"/>
      <w:marLeft w:val="0"/>
      <w:marRight w:val="0"/>
      <w:marTop w:val="0"/>
      <w:marBottom w:val="0"/>
      <w:divBdr>
        <w:top w:val="none" w:sz="0" w:space="0" w:color="auto"/>
        <w:left w:val="none" w:sz="0" w:space="0" w:color="auto"/>
        <w:bottom w:val="none" w:sz="0" w:space="0" w:color="auto"/>
        <w:right w:val="none" w:sz="0" w:space="0" w:color="auto"/>
      </w:divBdr>
    </w:div>
    <w:div w:id="18217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FF23BEB72254799E28C3895093495" ma:contentTypeVersion="13" ma:contentTypeDescription="Create a new document." ma:contentTypeScope="" ma:versionID="24c7908edf95242bc7b75e8db3fad3f5">
  <xsd:schema xmlns:xsd="http://www.w3.org/2001/XMLSchema" xmlns:xs="http://www.w3.org/2001/XMLSchema" xmlns:p="http://schemas.microsoft.com/office/2006/metadata/properties" xmlns:ns3="983fbeae-a821-4b65-9569-51ef0fbf009c" xmlns:ns4="3f42f696-f08a-4e6c-ad21-2c5d8687bb97" targetNamespace="http://schemas.microsoft.com/office/2006/metadata/properties" ma:root="true" ma:fieldsID="c385d81eaa0ae613d9837d8dd65fc801" ns3:_="" ns4:_="">
    <xsd:import namespace="983fbeae-a821-4b65-9569-51ef0fbf009c"/>
    <xsd:import namespace="3f42f696-f08a-4e6c-ad21-2c5d8687bb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fbeae-a821-4b65-9569-51ef0fbf00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2f696-f08a-4e6c-ad21-2c5d8687bb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EF4A-0F9F-4A59-860B-6D50E02F1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fbeae-a821-4b65-9569-51ef0fbf009c"/>
    <ds:schemaRef ds:uri="3f42f696-f08a-4e6c-ad21-2c5d8687b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2ABE2-0A3F-4133-B777-BB9FC6362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29482-679F-4B82-9EA4-BFE1215B4349}">
  <ds:schemaRefs>
    <ds:schemaRef ds:uri="http://schemas.microsoft.com/sharepoint/v3/contenttype/forms"/>
  </ds:schemaRefs>
</ds:datastoreItem>
</file>

<file path=customXml/itemProps4.xml><?xml version="1.0" encoding="utf-8"?>
<ds:datastoreItem xmlns:ds="http://schemas.openxmlformats.org/officeDocument/2006/customXml" ds:itemID="{E15CFE56-5CFF-44A4-A0D3-C045A15B5F40}">
  <ds:schemaRefs>
    <ds:schemaRef ds:uri="http://schemas.openxmlformats.org/officeDocument/2006/bibliography"/>
  </ds:schemaRefs>
</ds:datastoreItem>
</file>

<file path=customXml/itemProps5.xml><?xml version="1.0" encoding="utf-8"?>
<ds:datastoreItem xmlns:ds="http://schemas.openxmlformats.org/officeDocument/2006/customXml" ds:itemID="{D5B24A38-4D52-4C0C-8948-3D85D1AC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2394</Words>
  <Characters>13646</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Section 15: Capital Projects and Fixed Assets </vt:lpstr>
      <vt:lpstr>        Definitions</vt:lpstr>
      <vt:lpstr>        General Rules for Capital Expenditure Projects</vt:lpstr>
      <vt:lpstr>        Capital Spend Authority Matrix</vt:lpstr>
      <vt:lpstr>        All Faculties and Departments will make requests for capital expenditure during </vt:lpstr>
      <vt:lpstr>        Capital Expenditure Authorisation Process </vt:lpstr>
      <vt:lpstr>        Variations and Overspend</vt:lpstr>
      <vt:lpstr>        Capital Expenditure Workflow/</vt:lpstr>
      <vt:lpstr>        Capitalisation criteria</vt:lpstr>
      <vt:lpstr>        15.9.  Monitoring and Reporting</vt:lpstr>
      <vt:lpstr>        15.10.  Depreciation</vt:lpstr>
      <vt:lpstr>        </vt:lpstr>
      <vt:lpstr>        15.10.2	Depreciation is calculated monthly, commencing the month after the const</vt:lpstr>
      <vt:lpstr>        15.11.	Revaluation and Impairment</vt:lpstr>
      <vt:lpstr>        Ongoing Maintenance</vt:lpstr>
      <vt:lpstr>        Responsibilities </vt:lpstr>
      <vt:lpstr>        Maintaining the Fixed Asset Register</vt:lpstr>
      <vt:lpstr>        Coding structure for Fixed Assets</vt:lpstr>
    </vt:vector>
  </TitlesOfParts>
  <Company>UWA</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Davies [rkd]</dc:creator>
  <cp:keywords/>
  <dc:description/>
  <cp:lastModifiedBy>Carol Rees [cej] (Staff)</cp:lastModifiedBy>
  <cp:revision>2</cp:revision>
  <cp:lastPrinted>2017-05-18T09:46:00Z</cp:lastPrinted>
  <dcterms:created xsi:type="dcterms:W3CDTF">2022-02-15T16:39:00Z</dcterms:created>
  <dcterms:modified xsi:type="dcterms:W3CDTF">2022-02-15T16:39:00Z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0x010100E94FF23BEB72254799E28C3895093495</vt:lpwstr>
  </property>
</Properties>
</file>