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0E2A" w14:textId="77777777" w:rsidR="005437AB" w:rsidRDefault="005437AB" w:rsidP="005437AB">
      <w:pPr>
        <w:jc w:val="center"/>
        <w:rPr>
          <w:rFonts w:ascii="Arial" w:hAnsi="Arial" w:cs="Arial"/>
          <w:b/>
          <w:bCs/>
        </w:rPr>
      </w:pPr>
      <w:r w:rsidRPr="00B97545">
        <w:rPr>
          <w:rFonts w:ascii="Arial" w:hAnsi="Arial" w:cs="Arial"/>
          <w:noProof/>
        </w:rPr>
        <w:drawing>
          <wp:inline distT="0" distB="0" distL="0" distR="0" wp14:anchorId="78A59694" wp14:editId="038EB4F7">
            <wp:extent cx="2430780" cy="609600"/>
            <wp:effectExtent l="0" t="0" r="762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4AD6" w14:textId="77777777" w:rsidR="005437AB" w:rsidRDefault="005437AB" w:rsidP="005437AB">
      <w:pPr>
        <w:jc w:val="center"/>
        <w:rPr>
          <w:rFonts w:ascii="Arial" w:hAnsi="Arial" w:cs="Arial"/>
          <w:b/>
          <w:bCs/>
        </w:rPr>
      </w:pPr>
    </w:p>
    <w:p w14:paraId="4669A498" w14:textId="77777777" w:rsidR="005437AB" w:rsidRPr="005437AB" w:rsidRDefault="005437AB" w:rsidP="005437AB">
      <w:pPr>
        <w:jc w:val="center"/>
        <w:rPr>
          <w:rFonts w:ascii="Arial" w:hAnsi="Arial" w:cs="Arial"/>
          <w:b/>
          <w:bCs/>
        </w:rPr>
      </w:pPr>
      <w:r w:rsidRPr="005437AB">
        <w:rPr>
          <w:rFonts w:ascii="Arial" w:hAnsi="Arial" w:cs="Arial"/>
          <w:b/>
          <w:bCs/>
        </w:rPr>
        <w:t>FINANCIAL PROCEDURES</w:t>
      </w:r>
    </w:p>
    <w:p w14:paraId="5DDC458A" w14:textId="77777777" w:rsidR="005437AB" w:rsidRPr="00502491" w:rsidRDefault="005437AB" w:rsidP="005437AB">
      <w:pPr>
        <w:jc w:val="center"/>
        <w:rPr>
          <w:rFonts w:ascii="Calibri" w:hAnsi="Calibri" w:cs="Calibri"/>
          <w:b/>
          <w:bCs/>
        </w:rPr>
      </w:pPr>
    </w:p>
    <w:p w14:paraId="6664B5AB" w14:textId="026AF407" w:rsidR="005437AB" w:rsidRPr="005437AB" w:rsidRDefault="005437AB" w:rsidP="005437AB">
      <w:pPr>
        <w:rPr>
          <w:rFonts w:ascii="Arial" w:hAnsi="Arial" w:cs="Arial"/>
          <w:b/>
          <w:bCs/>
        </w:rPr>
      </w:pPr>
      <w:r w:rsidRPr="005437AB">
        <w:rPr>
          <w:rFonts w:ascii="Arial" w:hAnsi="Arial" w:cs="Arial"/>
          <w:b/>
          <w:bCs/>
        </w:rPr>
        <w:t xml:space="preserve">Section 18 – </w:t>
      </w:r>
      <w:r w:rsidR="00AC2A02" w:rsidRPr="00AC2A02">
        <w:rPr>
          <w:rFonts w:ascii="Arial" w:hAnsi="Arial" w:cs="Arial"/>
          <w:b/>
          <w:bCs/>
        </w:rPr>
        <w:t xml:space="preserve">Commercial </w:t>
      </w:r>
      <w:r w:rsidRPr="005437AB">
        <w:rPr>
          <w:rFonts w:ascii="Arial" w:hAnsi="Arial" w:cs="Arial"/>
          <w:b/>
          <w:bCs/>
        </w:rPr>
        <w:t>Debt Collection Procedures</w:t>
      </w:r>
    </w:p>
    <w:p w14:paraId="409A4899" w14:textId="1BEAB613" w:rsidR="005437AB" w:rsidRPr="005437AB" w:rsidRDefault="005437AB" w:rsidP="005437AB">
      <w:pPr>
        <w:spacing w:after="0"/>
        <w:rPr>
          <w:rFonts w:ascii="Arial" w:hAnsi="Arial" w:cs="Arial"/>
        </w:rPr>
      </w:pPr>
      <w:r w:rsidRPr="005437AB">
        <w:rPr>
          <w:rFonts w:ascii="Arial" w:hAnsi="Arial" w:cs="Arial"/>
          <w:b/>
          <w:bCs/>
        </w:rPr>
        <w:t>Approving Body:</w:t>
      </w:r>
      <w:r w:rsidRPr="005437AB">
        <w:rPr>
          <w:rFonts w:ascii="Arial" w:hAnsi="Arial" w:cs="Arial"/>
        </w:rPr>
        <w:tab/>
      </w:r>
      <w:r w:rsidRPr="005437AB">
        <w:rPr>
          <w:rFonts w:ascii="Arial" w:hAnsi="Arial" w:cs="Arial"/>
        </w:rPr>
        <w:tab/>
        <w:t>Re</w:t>
      </w:r>
      <w:r w:rsidR="00C749A8">
        <w:rPr>
          <w:rFonts w:ascii="Arial" w:hAnsi="Arial" w:cs="Arial"/>
        </w:rPr>
        <w:t>sources</w:t>
      </w:r>
      <w:r w:rsidRPr="005437AB">
        <w:rPr>
          <w:rFonts w:ascii="Arial" w:hAnsi="Arial" w:cs="Arial"/>
        </w:rPr>
        <w:t xml:space="preserve"> and Performance Committee</w:t>
      </w:r>
    </w:p>
    <w:p w14:paraId="79DFE980" w14:textId="77777777" w:rsidR="005437AB" w:rsidRPr="005437AB" w:rsidRDefault="005437AB" w:rsidP="005437AB">
      <w:pPr>
        <w:spacing w:after="0"/>
        <w:rPr>
          <w:rFonts w:ascii="Arial" w:hAnsi="Arial" w:cs="Arial"/>
        </w:rPr>
      </w:pPr>
      <w:r w:rsidRPr="005437AB">
        <w:rPr>
          <w:rFonts w:ascii="Arial" w:hAnsi="Arial" w:cs="Arial"/>
          <w:b/>
          <w:bCs/>
        </w:rPr>
        <w:t>Date of Approval:</w:t>
      </w:r>
      <w:r w:rsidRPr="005437AB">
        <w:rPr>
          <w:rFonts w:ascii="Arial" w:hAnsi="Arial" w:cs="Arial"/>
        </w:rPr>
        <w:tab/>
      </w:r>
      <w:r w:rsidRPr="005437AB">
        <w:rPr>
          <w:rFonts w:ascii="Arial" w:hAnsi="Arial" w:cs="Arial"/>
        </w:rPr>
        <w:tab/>
        <w:t>February 2021</w:t>
      </w:r>
    </w:p>
    <w:p w14:paraId="1E0DBE20" w14:textId="3A208162" w:rsidR="005437AB" w:rsidRPr="005437AB" w:rsidRDefault="005437AB" w:rsidP="005437AB">
      <w:pPr>
        <w:spacing w:after="0"/>
        <w:rPr>
          <w:rFonts w:ascii="Arial" w:hAnsi="Arial" w:cs="Arial"/>
        </w:rPr>
      </w:pPr>
      <w:r w:rsidRPr="005437AB">
        <w:rPr>
          <w:rFonts w:ascii="Arial" w:hAnsi="Arial" w:cs="Arial"/>
          <w:b/>
          <w:bCs/>
        </w:rPr>
        <w:t>Policy Owner:</w:t>
      </w:r>
      <w:r w:rsidRPr="005437AB">
        <w:rPr>
          <w:rFonts w:ascii="Arial" w:hAnsi="Arial" w:cs="Arial"/>
        </w:rPr>
        <w:tab/>
      </w:r>
      <w:r w:rsidRPr="005437AB">
        <w:rPr>
          <w:rFonts w:ascii="Arial" w:hAnsi="Arial" w:cs="Arial"/>
        </w:rPr>
        <w:tab/>
        <w:t xml:space="preserve">Finance and Compliance </w:t>
      </w:r>
    </w:p>
    <w:p w14:paraId="10439763" w14:textId="77777777" w:rsidR="005437AB" w:rsidRPr="005437AB" w:rsidRDefault="005437AB" w:rsidP="005437AB">
      <w:pPr>
        <w:spacing w:after="0"/>
        <w:rPr>
          <w:rFonts w:ascii="Arial" w:hAnsi="Arial" w:cs="Arial"/>
        </w:rPr>
      </w:pPr>
      <w:r w:rsidRPr="005437AB">
        <w:rPr>
          <w:rFonts w:ascii="Arial" w:hAnsi="Arial" w:cs="Arial"/>
          <w:b/>
          <w:bCs/>
        </w:rPr>
        <w:t>Last Review Date:</w:t>
      </w:r>
      <w:r w:rsidRPr="005437AB">
        <w:rPr>
          <w:rFonts w:ascii="Arial" w:hAnsi="Arial" w:cs="Arial"/>
        </w:rPr>
        <w:tab/>
      </w:r>
      <w:r w:rsidRPr="005437AB">
        <w:rPr>
          <w:rFonts w:ascii="Arial" w:hAnsi="Arial" w:cs="Arial"/>
        </w:rPr>
        <w:tab/>
        <w:t>February 2021</w:t>
      </w:r>
    </w:p>
    <w:p w14:paraId="0C136891" w14:textId="57859135" w:rsidR="005437AB" w:rsidRPr="005437AB" w:rsidRDefault="005437AB" w:rsidP="005437AB">
      <w:pPr>
        <w:spacing w:after="0"/>
        <w:rPr>
          <w:rFonts w:ascii="Arial" w:hAnsi="Arial" w:cs="Arial"/>
        </w:rPr>
      </w:pPr>
      <w:r w:rsidRPr="005437AB">
        <w:rPr>
          <w:rFonts w:ascii="Arial" w:hAnsi="Arial" w:cs="Arial"/>
          <w:b/>
          <w:bCs/>
        </w:rPr>
        <w:t>Next Review Date:</w:t>
      </w:r>
      <w:r w:rsidRPr="005437AB">
        <w:rPr>
          <w:rFonts w:ascii="Arial" w:hAnsi="Arial" w:cs="Arial"/>
        </w:rPr>
        <w:tab/>
      </w:r>
      <w:r w:rsidRPr="005437AB">
        <w:rPr>
          <w:rFonts w:ascii="Arial" w:hAnsi="Arial" w:cs="Arial"/>
        </w:rPr>
        <w:tab/>
        <w:t>September 2022</w:t>
      </w:r>
    </w:p>
    <w:p w14:paraId="5F9F2D9C" w14:textId="77777777" w:rsidR="005437AB" w:rsidRDefault="005437AB" w:rsidP="005437AB">
      <w:pPr>
        <w:jc w:val="center"/>
        <w:rPr>
          <w:rFonts w:ascii="Arial" w:hAnsi="Arial" w:cs="Arial"/>
        </w:rPr>
      </w:pPr>
    </w:p>
    <w:p w14:paraId="2661FD4C" w14:textId="77777777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4C4F439" w14:textId="35C459AB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8B0C0A6" w14:textId="3FDB7DBE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273A8E7" w14:textId="0A239FAE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3B1900F" w14:textId="1DF04B9E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691C0C5" w14:textId="409D0D46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41309C0" w14:textId="4969E3FD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E5C478F" w14:textId="3532334F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1E72900" w14:textId="7C1CD3E4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8F9CB6F" w14:textId="21FE5A09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5D0D6B9" w14:textId="27CA4DAD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712B0DB" w14:textId="43176E37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4EC17B5" w14:textId="205671E4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F5C0A7A" w14:textId="790AAB34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956F5A2" w14:textId="081A188E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C2CA4BF" w14:textId="07B93730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786F364" w14:textId="3F34440E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323A92C" w14:textId="1A1DDFE4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722FEAE" w14:textId="64910C4F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B922E42" w14:textId="2205619C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37E6A06" w14:textId="63B6458A" w:rsidR="005437AB" w:rsidRDefault="005437AB" w:rsidP="0082338C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CAC0064" w14:textId="77777777" w:rsidR="004C4080" w:rsidRDefault="004C4080" w:rsidP="005437AB">
      <w:pPr>
        <w:pStyle w:val="Title"/>
        <w:rPr>
          <w:rStyle w:val="SubtleReference"/>
          <w:rFonts w:asciiTheme="minorHAnsi" w:hAnsiTheme="minorHAnsi" w:cstheme="minorHAnsi"/>
          <w:b/>
          <w:color w:val="auto"/>
          <w:sz w:val="28"/>
          <w:szCs w:val="28"/>
        </w:rPr>
      </w:pPr>
    </w:p>
    <w:p w14:paraId="106DD217" w14:textId="08CAEA9D" w:rsidR="00BF03D6" w:rsidRPr="00CD2952" w:rsidRDefault="69FF07BF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lastRenderedPageBreak/>
        <w:t>1</w:t>
      </w:r>
      <w:r w:rsidR="00FD6CB7" w:rsidRPr="00CD2952">
        <w:rPr>
          <w:rFonts w:ascii="Arial" w:eastAsia="Times New Roman" w:hAnsi="Arial" w:cs="Arial"/>
          <w:b/>
          <w:bCs/>
          <w:color w:val="0070C0"/>
          <w:lang w:eastAsia="en-GB"/>
        </w:rPr>
        <w:t>8</w:t>
      </w: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t>.1. Objectives</w:t>
      </w:r>
    </w:p>
    <w:p w14:paraId="7218AEDA" w14:textId="77777777" w:rsidR="00BF03D6" w:rsidRPr="00CD2952" w:rsidRDefault="00BF03D6" w:rsidP="003A2EDB">
      <w:pPr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 xml:space="preserve">At all times, all outstanding debts should be under control and subject to standard collection procedures. </w:t>
      </w:r>
      <w:r w:rsidR="00EE4351" w:rsidRPr="00CD2952">
        <w:rPr>
          <w:rFonts w:ascii="Arial" w:hAnsi="Arial" w:cs="Arial"/>
        </w:rPr>
        <w:t>The Finance Department will involve the instigating department in the collection process where the debt is 46 days overdue and prior to referral to debt collection agents.</w:t>
      </w:r>
      <w:r w:rsidR="00C81DE0" w:rsidRPr="00CD2952">
        <w:rPr>
          <w:rFonts w:ascii="Arial" w:hAnsi="Arial" w:cs="Arial"/>
        </w:rPr>
        <w:t xml:space="preserve"> </w:t>
      </w:r>
      <w:r w:rsidRPr="00CD2952">
        <w:rPr>
          <w:rFonts w:ascii="Arial" w:hAnsi="Arial" w:cs="Arial"/>
        </w:rPr>
        <w:t xml:space="preserve">Older debt will </w:t>
      </w:r>
      <w:r w:rsidR="00C81DE0" w:rsidRPr="00CD2952">
        <w:rPr>
          <w:rFonts w:ascii="Arial" w:hAnsi="Arial" w:cs="Arial"/>
        </w:rPr>
        <w:t xml:space="preserve">then </w:t>
      </w:r>
      <w:r w:rsidRPr="00CD2952">
        <w:rPr>
          <w:rFonts w:ascii="Arial" w:hAnsi="Arial" w:cs="Arial"/>
        </w:rPr>
        <w:t>progress to a status of either:</w:t>
      </w:r>
    </w:p>
    <w:p w14:paraId="58F51DD1" w14:textId="77777777" w:rsidR="00BF03D6" w:rsidRPr="00CD2952" w:rsidRDefault="00BF03D6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952">
        <w:rPr>
          <w:rFonts w:ascii="Arial" w:hAnsi="Arial" w:cs="Arial"/>
        </w:rPr>
        <w:t>active with debt collection agents</w:t>
      </w:r>
    </w:p>
    <w:p w14:paraId="5DF74971" w14:textId="77777777" w:rsidR="00BF03D6" w:rsidRPr="00CD2952" w:rsidRDefault="00BF03D6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952">
        <w:rPr>
          <w:rFonts w:ascii="Arial" w:hAnsi="Arial" w:cs="Arial"/>
        </w:rPr>
        <w:t>with active instalment plan in place</w:t>
      </w:r>
    </w:p>
    <w:p w14:paraId="3F949E83" w14:textId="77777777" w:rsidR="00BF03D6" w:rsidRPr="00CD2952" w:rsidRDefault="00BF03D6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952">
        <w:rPr>
          <w:rFonts w:ascii="Arial" w:hAnsi="Arial" w:cs="Arial"/>
        </w:rPr>
        <w:t>with County Court Judgement obtained for applicable values or</w:t>
      </w:r>
    </w:p>
    <w:p w14:paraId="5AB937F5" w14:textId="77777777" w:rsidR="00BF03D6" w:rsidRPr="00CD2952" w:rsidRDefault="00BF03D6" w:rsidP="00BF0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952">
        <w:rPr>
          <w:rFonts w:ascii="Arial" w:hAnsi="Arial" w:cs="Arial"/>
        </w:rPr>
        <w:t>written-off.</w:t>
      </w:r>
    </w:p>
    <w:p w14:paraId="2D2C1BED" w14:textId="2621266F" w:rsidR="00BF03D6" w:rsidRPr="00CD2952" w:rsidRDefault="730D9AA6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t>1</w:t>
      </w:r>
      <w:r w:rsidR="00FD6CB7" w:rsidRPr="00CD2952">
        <w:rPr>
          <w:rFonts w:ascii="Arial" w:eastAsia="Times New Roman" w:hAnsi="Arial" w:cs="Arial"/>
          <w:b/>
          <w:bCs/>
          <w:color w:val="0070C0"/>
          <w:lang w:eastAsia="en-GB"/>
        </w:rPr>
        <w:t>8</w:t>
      </w: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t>.2. Authorizations</w:t>
      </w:r>
    </w:p>
    <w:p w14:paraId="06EA6430" w14:textId="23E79BF9" w:rsidR="5BF1A02C" w:rsidRPr="00CD2952" w:rsidRDefault="730D9AA6" w:rsidP="00CE7C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CD2952">
        <w:rPr>
          <w:rFonts w:ascii="Arial" w:eastAsia="Times New Roman" w:hAnsi="Arial" w:cs="Arial"/>
          <w:lang w:eastAsia="en-GB"/>
        </w:rPr>
        <w:t>Authorization</w:t>
      </w:r>
      <w:r w:rsidR="00BF03D6" w:rsidRPr="00CD2952">
        <w:rPr>
          <w:rFonts w:ascii="Arial" w:eastAsia="Times New Roman" w:hAnsi="Arial" w:cs="Arial"/>
          <w:lang w:eastAsia="en-GB"/>
        </w:rPr>
        <w:t xml:space="preserve"> for arranging instalment plans</w:t>
      </w:r>
      <w:r w:rsidR="00C81DE0" w:rsidRPr="00CD2952">
        <w:rPr>
          <w:rFonts w:ascii="Arial" w:eastAsia="Times New Roman" w:hAnsi="Arial" w:cs="Arial"/>
          <w:lang w:eastAsia="en-GB"/>
        </w:rPr>
        <w:t>, referral to debt collection agents</w:t>
      </w:r>
      <w:r w:rsidR="00BF03D6" w:rsidRPr="00CD2952">
        <w:rPr>
          <w:rFonts w:ascii="Arial" w:eastAsia="Times New Roman" w:hAnsi="Arial" w:cs="Arial"/>
          <w:lang w:eastAsia="en-GB"/>
        </w:rPr>
        <w:t xml:space="preserve"> and debt write-</w:t>
      </w:r>
      <w:r w:rsidR="008276A5" w:rsidRPr="00CD2952">
        <w:rPr>
          <w:rFonts w:ascii="Arial" w:eastAsia="Times New Roman" w:hAnsi="Arial" w:cs="Arial"/>
          <w:lang w:eastAsia="en-GB"/>
        </w:rPr>
        <w:t>off are documented in appendix A</w:t>
      </w:r>
      <w:r w:rsidR="00BF03D6" w:rsidRPr="00CD2952">
        <w:rPr>
          <w:rFonts w:ascii="Arial" w:eastAsia="Times New Roman" w:hAnsi="Arial" w:cs="Arial"/>
          <w:lang w:eastAsia="en-GB"/>
        </w:rPr>
        <w:t>1.</w:t>
      </w:r>
    </w:p>
    <w:p w14:paraId="2FBF1903" w14:textId="14A2A8D6" w:rsidR="00BF03D6" w:rsidRPr="00CD2952" w:rsidRDefault="3DFB7A7E" w:rsidP="5BF1A0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t>1</w:t>
      </w:r>
      <w:r w:rsidR="00FD6CB7" w:rsidRPr="00CD2952">
        <w:rPr>
          <w:rFonts w:ascii="Arial" w:eastAsia="Times New Roman" w:hAnsi="Arial" w:cs="Arial"/>
          <w:b/>
          <w:bCs/>
          <w:color w:val="0070C0"/>
          <w:lang w:eastAsia="en-GB"/>
        </w:rPr>
        <w:t>8</w:t>
      </w:r>
      <w:r w:rsidRPr="00CD2952">
        <w:rPr>
          <w:rFonts w:ascii="Arial" w:eastAsia="Times New Roman" w:hAnsi="Arial" w:cs="Arial"/>
          <w:b/>
          <w:bCs/>
          <w:color w:val="0070C0"/>
          <w:lang w:eastAsia="en-GB"/>
        </w:rPr>
        <w:t>.3. Interaction</w:t>
      </w:r>
    </w:p>
    <w:p w14:paraId="5C1BC18C" w14:textId="77777777" w:rsidR="00BF03D6" w:rsidRPr="00CD2952" w:rsidRDefault="00BF03D6" w:rsidP="003A2ED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CD2952">
        <w:rPr>
          <w:rFonts w:ascii="Arial" w:eastAsia="Times New Roman" w:hAnsi="Arial" w:cs="Arial"/>
          <w:lang w:eastAsia="en-GB"/>
        </w:rPr>
        <w:t xml:space="preserve">Where invoices remain outstanding and no instalment plan agreed, communications giving full and fair notice of any action to be taken will be </w:t>
      </w:r>
      <w:r w:rsidR="00A55523" w:rsidRPr="00CD2952">
        <w:rPr>
          <w:rFonts w:ascii="Arial" w:eastAsia="Times New Roman" w:hAnsi="Arial" w:cs="Arial"/>
          <w:lang w:eastAsia="en-GB"/>
        </w:rPr>
        <w:t>e-mailed to customers</w:t>
      </w:r>
      <w:r w:rsidRPr="00CD2952">
        <w:rPr>
          <w:rFonts w:ascii="Arial" w:eastAsia="Times New Roman" w:hAnsi="Arial" w:cs="Arial"/>
          <w:lang w:eastAsia="en-GB"/>
        </w:rPr>
        <w:t xml:space="preserve"> as follows</w:t>
      </w:r>
      <w:r w:rsidR="00A55523" w:rsidRPr="00CD2952">
        <w:rPr>
          <w:rFonts w:ascii="Arial" w:eastAsia="Times New Roman" w:hAnsi="Arial" w:cs="Arial"/>
          <w:lang w:eastAsia="en-GB"/>
        </w:rPr>
        <w:t xml:space="preserve">. Where no e-mail address is registered on the customer record, a physical reminder notice is printed and sent. Action should be taken to obtain an e-mail address so that any </w:t>
      </w:r>
      <w:r w:rsidR="00650E1C" w:rsidRPr="00CD2952">
        <w:rPr>
          <w:rFonts w:ascii="Arial" w:eastAsia="Times New Roman" w:hAnsi="Arial" w:cs="Arial"/>
          <w:lang w:eastAsia="en-GB"/>
        </w:rPr>
        <w:t>future correspondence is electronic</w:t>
      </w:r>
      <w:r w:rsidRPr="00CD2952">
        <w:rPr>
          <w:rFonts w:ascii="Arial" w:eastAsia="Times New Roman" w:hAnsi="Arial" w:cs="Arial"/>
          <w:lang w:eastAsia="en-GB"/>
        </w:rPr>
        <w:t>: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393"/>
      </w:tblGrid>
      <w:tr w:rsidR="00BF03D6" w:rsidRPr="00CD2952" w14:paraId="723E1714" w14:textId="77777777" w:rsidTr="5BF1A02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F786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bookmarkStart w:id="0" w:name="RANGE!A1"/>
            <w:bookmarkStart w:id="1" w:name="OLE_LINK1" w:colFirst="1" w:colLast="3"/>
            <w:r w:rsidRPr="00CD2952">
              <w:rPr>
                <w:rFonts w:ascii="Arial" w:eastAsia="Times New Roman" w:hAnsi="Arial" w:cs="Arial"/>
                <w:b/>
                <w:bCs/>
                <w:lang w:val="en-GB" w:eastAsia="en-GB"/>
              </w:rPr>
              <w:t>Letter reference*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68BF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lang w:val="en-GB" w:eastAsia="en-GB"/>
              </w:rPr>
              <w:t>Days from due date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446E2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lang w:val="en-GB" w:eastAsia="en-GB"/>
              </w:rPr>
              <w:t>Action</w:t>
            </w:r>
          </w:p>
        </w:tc>
      </w:tr>
      <w:tr w:rsidR="00BF03D6" w:rsidRPr="00CD2952" w14:paraId="3ECEA71C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3C6" w14:textId="77777777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RL1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6AE6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System generated standard reminder</w:t>
            </w:r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>. Reminder logged on ABW record.</w:t>
            </w:r>
          </w:p>
        </w:tc>
      </w:tr>
      <w:tr w:rsidR="00BF03D6" w:rsidRPr="00CD2952" w14:paraId="045CA3EF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2EE9" w14:textId="77777777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RL2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791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16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2736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System generated standard reminder</w:t>
            </w:r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>. Reminder logged on ABW record</w:t>
            </w:r>
          </w:p>
        </w:tc>
      </w:tr>
      <w:tr w:rsidR="00BF03D6" w:rsidRPr="00CD2952" w14:paraId="65D7F053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980" w14:textId="77777777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RL3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30C" w14:textId="77777777" w:rsidR="00BF03D6" w:rsidRPr="00CD2952" w:rsidRDefault="00BF03D6" w:rsidP="00BF03D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31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B734" w14:textId="77777777" w:rsidR="00BF03D6" w:rsidRPr="00CD2952" w:rsidRDefault="00BF03D6" w:rsidP="00BF03D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System generated standard reminder with reference to Debt Collection Agents</w:t>
            </w:r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>. Reminder logged on ABW record.</w:t>
            </w:r>
          </w:p>
        </w:tc>
      </w:tr>
      <w:tr w:rsidR="00BF03D6" w:rsidRPr="00CD2952" w14:paraId="522679F2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D9D" w14:textId="0542ADC1" w:rsidR="00BF03D6" w:rsidRPr="00CD2952" w:rsidRDefault="2C5DF307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H1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237" w14:textId="77777777" w:rsidR="00BF03D6" w:rsidRPr="00CD2952" w:rsidRDefault="00D46E27" w:rsidP="00BF03D6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46+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6853" w14:textId="2D021EF2" w:rsidR="00BF03D6" w:rsidRPr="00CD2952" w:rsidRDefault="264F30EE" w:rsidP="007759F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Issuing</w:t>
            </w:r>
            <w:r w:rsidR="6748185F" w:rsidRPr="00CD2952">
              <w:rPr>
                <w:rFonts w:ascii="Arial" w:eastAsia="Times New Roman" w:hAnsi="Arial" w:cs="Arial"/>
                <w:lang w:val="en-GB" w:eastAsia="en-GB"/>
              </w:rPr>
              <w:t xml:space="preserve"> department provided with debtor list informing them of referral to debt collection agents and if unsuccessful debt will be written back to department.</w:t>
            </w:r>
            <w:r w:rsidRPr="00CD2952">
              <w:rPr>
                <w:rFonts w:ascii="Arial" w:eastAsia="Times New Roman" w:hAnsi="Arial" w:cs="Arial"/>
                <w:lang w:val="en-GB" w:eastAsia="en-GB"/>
              </w:rPr>
              <w:t xml:space="preserve"> ABW record updated to reflect </w:t>
            </w:r>
            <w:r w:rsidR="1B60F63B" w:rsidRPr="00CD2952">
              <w:rPr>
                <w:rFonts w:ascii="Arial" w:eastAsia="Times New Roman" w:hAnsi="Arial" w:cs="Arial"/>
                <w:lang w:val="en-GB" w:eastAsia="en-GB"/>
              </w:rPr>
              <w:t>hold for department advice</w:t>
            </w:r>
            <w:r w:rsidRPr="00CD2952">
              <w:rPr>
                <w:rFonts w:ascii="Arial" w:eastAsia="Times New Roman" w:hAnsi="Arial" w:cs="Arial"/>
                <w:lang w:val="en-GB" w:eastAsia="en-GB"/>
              </w:rPr>
              <w:t>.</w:t>
            </w:r>
          </w:p>
          <w:p w14:paraId="2ABC2CF9" w14:textId="77777777" w:rsidR="004A407E" w:rsidRPr="00CD2952" w:rsidRDefault="004A407E" w:rsidP="00650E1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 xml:space="preserve">Debtors are </w:t>
            </w:r>
            <w:r w:rsidR="00650E1C" w:rsidRPr="00CD2952">
              <w:rPr>
                <w:rFonts w:ascii="Arial" w:eastAsia="Times New Roman" w:hAnsi="Arial" w:cs="Arial"/>
                <w:lang w:val="en-GB" w:eastAsia="en-GB"/>
              </w:rPr>
              <w:t>contacted via telephone</w:t>
            </w:r>
            <w:r w:rsidRPr="00CD2952">
              <w:rPr>
                <w:rFonts w:ascii="Arial" w:eastAsia="Times New Roman" w:hAnsi="Arial" w:cs="Arial"/>
                <w:lang w:val="en-GB" w:eastAsia="en-GB"/>
              </w:rPr>
              <w:t xml:space="preserve"> and </w:t>
            </w:r>
            <w:r w:rsidR="00650E1C" w:rsidRPr="00CD2952">
              <w:rPr>
                <w:rFonts w:ascii="Arial" w:eastAsia="Times New Roman" w:hAnsi="Arial" w:cs="Arial"/>
                <w:lang w:val="en-GB" w:eastAsia="en-GB"/>
              </w:rPr>
              <w:t>details</w:t>
            </w:r>
            <w:r w:rsidRPr="00CD2952">
              <w:rPr>
                <w:rFonts w:ascii="Arial" w:eastAsia="Times New Roman" w:hAnsi="Arial" w:cs="Arial"/>
                <w:lang w:val="en-GB" w:eastAsia="en-GB"/>
              </w:rPr>
              <w:t xml:space="preserve"> logged on ABW record.</w:t>
            </w:r>
          </w:p>
        </w:tc>
      </w:tr>
      <w:tr w:rsidR="00BF03D6" w:rsidRPr="00CD2952" w14:paraId="54CCD0EC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C81" w14:textId="20F39FF9" w:rsidR="00BF03D6" w:rsidRPr="00CD2952" w:rsidRDefault="2CD7DF1E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P2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84E" w14:textId="77777777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7</w:t>
            </w:r>
            <w:r w:rsidR="0087468A" w:rsidRPr="00CD2952">
              <w:rPr>
                <w:rFonts w:ascii="Arial" w:eastAsia="Times New Roman" w:hAnsi="Arial" w:cs="Arial"/>
                <w:lang w:val="en-GB" w:eastAsia="en-GB"/>
              </w:rPr>
              <w:t>1+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9281" w14:textId="261AF3DB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Notice of referral</w:t>
            </w:r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>. ABW record updated to reflect ‘P2</w:t>
            </w:r>
            <w:proofErr w:type="gramStart"/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>’</w:t>
            </w:r>
            <w:proofErr w:type="gramEnd"/>
            <w:r w:rsidR="004A407E" w:rsidRPr="00CD2952">
              <w:rPr>
                <w:rFonts w:ascii="Arial" w:eastAsia="Times New Roman" w:hAnsi="Arial" w:cs="Arial"/>
                <w:lang w:val="en-GB" w:eastAsia="en-GB"/>
              </w:rPr>
              <w:t xml:space="preserve"> and reminder logged.</w:t>
            </w:r>
          </w:p>
        </w:tc>
      </w:tr>
      <w:tr w:rsidR="00BF03D6" w:rsidRPr="00CD2952" w14:paraId="5BA7A6E8" w14:textId="77777777" w:rsidTr="5BF1A02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23D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Sanction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1DE" w14:textId="77777777" w:rsidR="00BF03D6" w:rsidRPr="00CD2952" w:rsidRDefault="00BF03D6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 </w:t>
            </w:r>
            <w:r w:rsidR="007759F3" w:rsidRPr="00CD2952">
              <w:rPr>
                <w:rFonts w:ascii="Arial" w:eastAsia="Times New Roman" w:hAnsi="Arial" w:cs="Arial"/>
                <w:lang w:val="en-GB" w:eastAsia="en-GB"/>
              </w:rPr>
              <w:t>91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A61E" w14:textId="77777777" w:rsidR="00BF03D6" w:rsidRPr="00CD2952" w:rsidRDefault="007759F3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Refer to Debt Collection Agents</w:t>
            </w:r>
          </w:p>
        </w:tc>
      </w:tr>
      <w:bookmarkEnd w:id="1"/>
    </w:tbl>
    <w:p w14:paraId="531A7AE8" w14:textId="26F4653D" w:rsidR="5BF1A02C" w:rsidRPr="00CD2952" w:rsidRDefault="5BF1A02C" w:rsidP="5BF1A02C">
      <w:pPr>
        <w:ind w:left="1701" w:hanging="1701"/>
        <w:rPr>
          <w:rFonts w:ascii="Arial" w:hAnsi="Arial" w:cs="Arial"/>
          <w:b/>
          <w:bCs/>
        </w:rPr>
      </w:pPr>
    </w:p>
    <w:p w14:paraId="122D7E49" w14:textId="4AD6EEAC" w:rsidR="00E25265" w:rsidRPr="00CD2952" w:rsidRDefault="0BB065A0" w:rsidP="5BF1A02C">
      <w:pPr>
        <w:ind w:left="1701" w:hanging="1701"/>
        <w:rPr>
          <w:rFonts w:ascii="Arial" w:eastAsia="Times New Roman" w:hAnsi="Arial" w:cs="Arial"/>
          <w:color w:val="0070C0"/>
          <w:lang w:eastAsia="en-GB"/>
        </w:rPr>
      </w:pPr>
      <w:r w:rsidRPr="00CD2952">
        <w:rPr>
          <w:rFonts w:ascii="Arial" w:hAnsi="Arial" w:cs="Arial"/>
          <w:b/>
          <w:bCs/>
          <w:color w:val="0070C0"/>
        </w:rPr>
        <w:t>1</w:t>
      </w:r>
      <w:r w:rsidR="00FD6CB7" w:rsidRPr="00CD2952">
        <w:rPr>
          <w:rFonts w:ascii="Arial" w:hAnsi="Arial" w:cs="Arial"/>
          <w:b/>
          <w:bCs/>
          <w:color w:val="0070C0"/>
        </w:rPr>
        <w:t>8</w:t>
      </w:r>
      <w:r w:rsidRPr="00CD2952">
        <w:rPr>
          <w:rFonts w:ascii="Arial" w:hAnsi="Arial" w:cs="Arial"/>
          <w:b/>
          <w:bCs/>
          <w:color w:val="0070C0"/>
        </w:rPr>
        <w:t>.4. Referrals</w:t>
      </w:r>
      <w:r w:rsidR="00E25265" w:rsidRPr="00CD2952">
        <w:rPr>
          <w:rFonts w:ascii="Arial" w:hAnsi="Arial" w:cs="Arial"/>
          <w:b/>
          <w:bCs/>
          <w:color w:val="0070C0"/>
        </w:rPr>
        <w:t xml:space="preserve"> to Debt Collection Agents</w:t>
      </w:r>
      <w:r w:rsidR="00E25265" w:rsidRPr="00CD2952">
        <w:rPr>
          <w:rFonts w:ascii="Arial" w:eastAsia="Times New Roman" w:hAnsi="Arial" w:cs="Arial"/>
          <w:color w:val="0070C0"/>
          <w:lang w:eastAsia="en-GB"/>
        </w:rPr>
        <w:t xml:space="preserve"> </w:t>
      </w:r>
    </w:p>
    <w:p w14:paraId="142B7633" w14:textId="4EE4AB61" w:rsidR="5BF1A02C" w:rsidRPr="00CD2952" w:rsidRDefault="4A554AD1" w:rsidP="006A0912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</w:rPr>
      </w:pPr>
      <w:r w:rsidRPr="00CD2952">
        <w:rPr>
          <w:rFonts w:ascii="Arial" w:eastAsia="Times New Roman" w:hAnsi="Arial" w:cs="Arial"/>
          <w:lang w:eastAsia="en-GB"/>
        </w:rPr>
        <w:t>1</w:t>
      </w:r>
      <w:r w:rsidR="00FD6CB7" w:rsidRPr="00CD2952">
        <w:rPr>
          <w:rFonts w:ascii="Arial" w:eastAsia="Times New Roman" w:hAnsi="Arial" w:cs="Arial"/>
          <w:lang w:eastAsia="en-GB"/>
        </w:rPr>
        <w:t>8</w:t>
      </w:r>
      <w:r w:rsidRPr="00CD2952">
        <w:rPr>
          <w:rFonts w:ascii="Arial" w:eastAsia="Times New Roman" w:hAnsi="Arial" w:cs="Arial"/>
          <w:lang w:eastAsia="en-GB"/>
        </w:rPr>
        <w:t>.4.</w:t>
      </w:r>
      <w:r w:rsidR="39E3E038" w:rsidRPr="00CD2952">
        <w:rPr>
          <w:rFonts w:ascii="Arial" w:eastAsia="Times New Roman" w:hAnsi="Arial" w:cs="Arial"/>
          <w:lang w:eastAsia="en-GB"/>
        </w:rPr>
        <w:t xml:space="preserve">1. </w:t>
      </w:r>
      <w:r w:rsidR="00CE7C61" w:rsidRPr="00CD2952">
        <w:rPr>
          <w:rFonts w:ascii="Arial" w:eastAsia="Times New Roman" w:hAnsi="Arial" w:cs="Arial"/>
          <w:lang w:eastAsia="en-GB"/>
        </w:rPr>
        <w:tab/>
      </w:r>
      <w:proofErr w:type="gramStart"/>
      <w:r w:rsidR="39E3E038" w:rsidRPr="00CD2952">
        <w:rPr>
          <w:rFonts w:ascii="Arial" w:eastAsia="Times New Roman" w:hAnsi="Arial" w:cs="Arial"/>
          <w:lang w:eastAsia="en-GB"/>
        </w:rPr>
        <w:t>All</w:t>
      </w:r>
      <w:r w:rsidR="00E25265" w:rsidRPr="00CD2952">
        <w:rPr>
          <w:rFonts w:ascii="Arial" w:eastAsia="Times New Roman" w:hAnsi="Arial" w:cs="Arial"/>
          <w:lang w:eastAsia="en-GB"/>
        </w:rPr>
        <w:t xml:space="preserve"> </w:t>
      </w:r>
      <w:r w:rsidR="006A0912" w:rsidRPr="00CD2952">
        <w:rPr>
          <w:rFonts w:ascii="Arial" w:eastAsia="Times New Roman" w:hAnsi="Arial" w:cs="Arial"/>
          <w:lang w:eastAsia="en-GB"/>
        </w:rPr>
        <w:t xml:space="preserve"> </w:t>
      </w:r>
      <w:r w:rsidR="00E25265" w:rsidRPr="00CD2952">
        <w:rPr>
          <w:rFonts w:ascii="Arial" w:eastAsia="Times New Roman" w:hAnsi="Arial" w:cs="Arial"/>
          <w:lang w:eastAsia="en-GB"/>
        </w:rPr>
        <w:t>debts</w:t>
      </w:r>
      <w:proofErr w:type="gramEnd"/>
      <w:r w:rsidR="00E25265" w:rsidRPr="00CD2952">
        <w:rPr>
          <w:rFonts w:ascii="Arial" w:eastAsia="Times New Roman" w:hAnsi="Arial" w:cs="Arial"/>
          <w:lang w:eastAsia="en-GB"/>
        </w:rPr>
        <w:t>, other</w:t>
      </w:r>
      <w:r w:rsidR="006A0912" w:rsidRPr="00CD2952">
        <w:rPr>
          <w:rFonts w:ascii="Arial" w:eastAsia="Times New Roman" w:hAnsi="Arial" w:cs="Arial"/>
          <w:lang w:eastAsia="en-GB"/>
        </w:rPr>
        <w:t xml:space="preserve"> </w:t>
      </w:r>
      <w:r w:rsidR="00E25265" w:rsidRPr="00CD2952">
        <w:rPr>
          <w:rFonts w:ascii="Arial" w:eastAsia="Times New Roman" w:hAnsi="Arial" w:cs="Arial"/>
          <w:lang w:eastAsia="en-GB"/>
        </w:rPr>
        <w:t xml:space="preserve"> than</w:t>
      </w:r>
      <w:r w:rsidR="006A0912" w:rsidRPr="00CD2952">
        <w:rPr>
          <w:rFonts w:ascii="Arial" w:eastAsia="Times New Roman" w:hAnsi="Arial" w:cs="Arial"/>
          <w:lang w:eastAsia="en-GB"/>
        </w:rPr>
        <w:t xml:space="preserve"> </w:t>
      </w:r>
      <w:r w:rsidR="00E25265" w:rsidRPr="00CD2952">
        <w:rPr>
          <w:rFonts w:ascii="Arial" w:eastAsia="Times New Roman" w:hAnsi="Arial" w:cs="Arial"/>
          <w:lang w:eastAsia="en-GB"/>
        </w:rPr>
        <w:t xml:space="preserve"> small values*, that have not been collected through the standard </w:t>
      </w:r>
      <w:r w:rsidR="00E25265" w:rsidRPr="00CD2952">
        <w:rPr>
          <w:rFonts w:ascii="Arial" w:hAnsi="Arial" w:cs="Arial"/>
        </w:rPr>
        <w:tab/>
      </w:r>
      <w:r w:rsidR="00E25265" w:rsidRPr="00CD2952">
        <w:rPr>
          <w:rFonts w:ascii="Arial" w:eastAsia="Times New Roman" w:hAnsi="Arial" w:cs="Arial"/>
          <w:lang w:eastAsia="en-GB"/>
        </w:rPr>
        <w:t xml:space="preserve">collection processes will be referred to the University’s external debt collection agency. </w:t>
      </w:r>
      <w:r w:rsidR="00E25265" w:rsidRPr="00CD2952">
        <w:rPr>
          <w:rFonts w:ascii="Arial" w:hAnsi="Arial" w:cs="Arial"/>
        </w:rPr>
        <w:tab/>
      </w:r>
      <w:r w:rsidR="00E25265" w:rsidRPr="00CD2952">
        <w:rPr>
          <w:rFonts w:ascii="Arial" w:eastAsia="Times New Roman" w:hAnsi="Arial" w:cs="Arial"/>
          <w:lang w:eastAsia="en-GB"/>
        </w:rPr>
        <w:t xml:space="preserve">All debtor correspondence in relation to the debt will be sent from and should be </w:t>
      </w:r>
      <w:r w:rsidR="00A847E4" w:rsidRPr="00CD2952">
        <w:rPr>
          <w:rFonts w:ascii="Arial" w:eastAsia="Times New Roman" w:hAnsi="Arial" w:cs="Arial"/>
          <w:lang w:eastAsia="en-GB"/>
        </w:rPr>
        <w:t>directed to the agency,</w:t>
      </w:r>
      <w:r w:rsidR="00516397" w:rsidRPr="00CD2952">
        <w:rPr>
          <w:rFonts w:ascii="Arial" w:eastAsia="Times New Roman" w:hAnsi="Arial" w:cs="Arial"/>
          <w:lang w:eastAsia="en-GB"/>
        </w:rPr>
        <w:t xml:space="preserve"> who have the authority to </w:t>
      </w:r>
      <w:proofErr w:type="gramStart"/>
      <w:r w:rsidR="00516397" w:rsidRPr="00CD2952">
        <w:rPr>
          <w:rFonts w:ascii="Arial" w:eastAsia="Times New Roman" w:hAnsi="Arial" w:cs="Arial"/>
          <w:lang w:eastAsia="en-GB"/>
        </w:rPr>
        <w:t>enter into</w:t>
      </w:r>
      <w:proofErr w:type="gramEnd"/>
      <w:r w:rsidR="00516397" w:rsidRPr="00CD2952">
        <w:rPr>
          <w:rFonts w:ascii="Arial" w:eastAsia="Times New Roman" w:hAnsi="Arial" w:cs="Arial"/>
          <w:lang w:eastAsia="en-GB"/>
        </w:rPr>
        <w:t xml:space="preserve"> instalment arrangements with the debtor with the debtor </w:t>
      </w:r>
      <w:r w:rsidR="00E50FEB" w:rsidRPr="00CD2952">
        <w:rPr>
          <w:rFonts w:ascii="Arial" w:eastAsia="Times New Roman" w:hAnsi="Arial" w:cs="Arial"/>
          <w:lang w:eastAsia="en-GB"/>
        </w:rPr>
        <w:t xml:space="preserve">without reference to the University.  If the </w:t>
      </w:r>
      <w:r w:rsidR="00E50FEB" w:rsidRPr="00CD2952">
        <w:rPr>
          <w:rFonts w:ascii="Arial" w:eastAsia="Times New Roman" w:hAnsi="Arial" w:cs="Arial"/>
          <w:lang w:eastAsia="en-GB"/>
        </w:rPr>
        <w:lastRenderedPageBreak/>
        <w:t xml:space="preserve">initial contact fails to secure settlement, </w:t>
      </w:r>
      <w:r w:rsidR="0024261D" w:rsidRPr="00CD2952">
        <w:rPr>
          <w:rFonts w:ascii="Arial" w:eastAsia="Times New Roman" w:hAnsi="Arial" w:cs="Arial"/>
          <w:lang w:eastAsia="en-GB"/>
        </w:rPr>
        <w:t xml:space="preserve">the University will instruct the commencement of legal proceedings to include obtaining a county court </w:t>
      </w:r>
      <w:r w:rsidR="009943F2" w:rsidRPr="00CD2952">
        <w:rPr>
          <w:rFonts w:ascii="Arial" w:eastAsia="Times New Roman" w:hAnsi="Arial" w:cs="Arial"/>
          <w:lang w:eastAsia="en-GB"/>
        </w:rPr>
        <w:t>judgement (CCJ) for debt of applicable value*.</w:t>
      </w:r>
      <w:r w:rsidR="00E25265" w:rsidRPr="00CD2952">
        <w:rPr>
          <w:rFonts w:ascii="Arial" w:hAnsi="Arial" w:cs="Arial"/>
        </w:rPr>
        <w:tab/>
      </w:r>
    </w:p>
    <w:p w14:paraId="358F9243" w14:textId="51319417" w:rsidR="006A0912" w:rsidRPr="00CD2952" w:rsidRDefault="006A0912" w:rsidP="006A0912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lang w:eastAsia="en-GB"/>
        </w:rPr>
      </w:pPr>
      <w:r w:rsidRPr="00CD2952">
        <w:rPr>
          <w:rFonts w:ascii="Arial" w:hAnsi="Arial" w:cs="Arial"/>
        </w:rPr>
        <w:t>18.4.2.</w:t>
      </w:r>
      <w:r w:rsidRPr="00CD2952">
        <w:rPr>
          <w:rFonts w:ascii="Arial" w:hAnsi="Arial" w:cs="Arial"/>
        </w:rPr>
        <w:tab/>
      </w:r>
      <w:r w:rsidR="00703A51" w:rsidRPr="00CD2952">
        <w:rPr>
          <w:rFonts w:ascii="Arial" w:hAnsi="Arial" w:cs="Arial"/>
        </w:rPr>
        <w:t xml:space="preserve">If STA International Ltd have not been able to establish the whereabouts of a debtor, a trace will by </w:t>
      </w:r>
      <w:r w:rsidR="002C34B8" w:rsidRPr="00CD2952">
        <w:rPr>
          <w:rFonts w:ascii="Arial" w:hAnsi="Arial" w:cs="Arial"/>
        </w:rPr>
        <w:t>default be initiated in each case.  Where the debtor is not based in the UK, a trace will be initiated with the deb</w:t>
      </w:r>
      <w:r w:rsidR="0001310B" w:rsidRPr="00CD2952">
        <w:rPr>
          <w:rFonts w:ascii="Arial" w:hAnsi="Arial" w:cs="Arial"/>
        </w:rPr>
        <w:t>t collection agency’s local agents in the country of the debtor.</w:t>
      </w:r>
    </w:p>
    <w:p w14:paraId="2E16FEFD" w14:textId="5FFB6876" w:rsidR="5BF1A02C" w:rsidRPr="00CD2952" w:rsidRDefault="5F435C67" w:rsidP="006A0912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lang w:eastAsia="en-GB"/>
        </w:rPr>
      </w:pPr>
      <w:r w:rsidRPr="00CD2952">
        <w:rPr>
          <w:rFonts w:ascii="Arial" w:eastAsia="Times New Roman" w:hAnsi="Arial" w:cs="Arial"/>
          <w:lang w:eastAsia="en-GB"/>
        </w:rPr>
        <w:t>1</w:t>
      </w:r>
      <w:r w:rsidR="00FD6CB7" w:rsidRPr="00CD2952">
        <w:rPr>
          <w:rFonts w:ascii="Arial" w:eastAsia="Times New Roman" w:hAnsi="Arial" w:cs="Arial"/>
          <w:lang w:eastAsia="en-GB"/>
        </w:rPr>
        <w:t>8</w:t>
      </w:r>
      <w:r w:rsidRPr="00CD2952">
        <w:rPr>
          <w:rFonts w:ascii="Arial" w:eastAsia="Times New Roman" w:hAnsi="Arial" w:cs="Arial"/>
          <w:lang w:eastAsia="en-GB"/>
        </w:rPr>
        <w:t>.4.</w:t>
      </w:r>
      <w:r w:rsidR="00BD7043" w:rsidRPr="00CD2952">
        <w:rPr>
          <w:rFonts w:ascii="Arial" w:eastAsia="Times New Roman" w:hAnsi="Arial" w:cs="Arial"/>
          <w:lang w:eastAsia="en-GB"/>
        </w:rPr>
        <w:t>3.</w:t>
      </w:r>
      <w:r w:rsidR="00BD7043" w:rsidRPr="00CD2952">
        <w:rPr>
          <w:rFonts w:ascii="Arial" w:eastAsia="Times New Roman" w:hAnsi="Arial" w:cs="Arial"/>
          <w:lang w:eastAsia="en-GB"/>
        </w:rPr>
        <w:tab/>
        <w:t>Where the collection</w:t>
      </w:r>
      <w:r w:rsidR="002773FC" w:rsidRPr="00CD2952">
        <w:rPr>
          <w:rFonts w:ascii="Arial" w:eastAsia="Times New Roman" w:hAnsi="Arial" w:cs="Arial"/>
          <w:lang w:eastAsia="en-GB"/>
        </w:rPr>
        <w:t xml:space="preserve"> of sums due results in increased cost to the University the de</w:t>
      </w:r>
      <w:r w:rsidR="00B54FCF" w:rsidRPr="00CD2952">
        <w:rPr>
          <w:rFonts w:ascii="Arial" w:eastAsia="Times New Roman" w:hAnsi="Arial" w:cs="Arial"/>
          <w:lang w:eastAsia="en-GB"/>
        </w:rPr>
        <w:t>btor shall be responsible for paying the cost incurred to recover the amount.  The University will seek to recover all costs or fees that are legitimately due from a debtor.  Any costs</w:t>
      </w:r>
      <w:r w:rsidR="00DB35CE" w:rsidRPr="00CD2952">
        <w:rPr>
          <w:rFonts w:ascii="Arial" w:eastAsia="Times New Roman" w:hAnsi="Arial" w:cs="Arial"/>
          <w:lang w:eastAsia="en-GB"/>
        </w:rPr>
        <w:t xml:space="preserve"> or fees due will be reasonable and will reflect the actual cost incurred.</w:t>
      </w:r>
    </w:p>
    <w:p w14:paraId="19D65B67" w14:textId="77777777" w:rsidR="00C24D09" w:rsidRPr="00CD2952" w:rsidRDefault="008743F6" w:rsidP="00C24D09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>18.4.4.</w:t>
      </w:r>
      <w:r w:rsidRPr="00CD2952">
        <w:rPr>
          <w:rFonts w:ascii="Arial" w:hAnsi="Arial" w:cs="Arial"/>
        </w:rPr>
        <w:tab/>
      </w:r>
      <w:r w:rsidR="000517CD" w:rsidRPr="00CD2952">
        <w:rPr>
          <w:rFonts w:ascii="Arial" w:hAnsi="Arial" w:cs="Arial"/>
        </w:rPr>
        <w:t>Where applicable*, the University will instruct the enforcement of judgements via High Court Enforcement Officers</w:t>
      </w:r>
      <w:r w:rsidR="009A2D33" w:rsidRPr="00CD2952">
        <w:rPr>
          <w:rFonts w:ascii="Arial" w:hAnsi="Arial" w:cs="Arial"/>
        </w:rPr>
        <w:t xml:space="preserve"> (Bailiffs).   Should this prove unsuccessful, the debt collection </w:t>
      </w:r>
      <w:r w:rsidR="00B92C5D" w:rsidRPr="00CD2952">
        <w:rPr>
          <w:rFonts w:ascii="Arial" w:hAnsi="Arial" w:cs="Arial"/>
        </w:rPr>
        <w:t xml:space="preserve">agency will be asked to place the account on hold for a period of two years at which time a further attempt at enforcement </w:t>
      </w:r>
      <w:r w:rsidR="00F81942" w:rsidRPr="00CD2952">
        <w:rPr>
          <w:rFonts w:ascii="Arial" w:hAnsi="Arial" w:cs="Arial"/>
        </w:rPr>
        <w:t>will be made.</w:t>
      </w:r>
    </w:p>
    <w:p w14:paraId="034D7228" w14:textId="1250E268" w:rsidR="5BF1A02C" w:rsidRPr="00CD2952" w:rsidRDefault="00F81942" w:rsidP="00775F42">
      <w:pPr>
        <w:spacing w:before="100" w:beforeAutospacing="1" w:after="100" w:afterAutospacing="1"/>
        <w:ind w:left="720"/>
        <w:jc w:val="both"/>
        <w:rPr>
          <w:rFonts w:ascii="Arial" w:eastAsia="Times New Roman" w:hAnsi="Arial" w:cs="Arial"/>
          <w:lang w:eastAsia="en-GB"/>
        </w:rPr>
      </w:pPr>
      <w:r w:rsidRPr="00CD2952">
        <w:rPr>
          <w:rFonts w:ascii="Arial" w:eastAsia="Times New Roman" w:hAnsi="Arial" w:cs="Arial"/>
          <w:lang w:eastAsia="en-GB"/>
        </w:rPr>
        <w:t>*See appendix B1 for table of applicable value</w:t>
      </w:r>
      <w:r w:rsidR="00775F42" w:rsidRPr="00CD2952">
        <w:rPr>
          <w:rFonts w:ascii="Arial" w:eastAsia="Times New Roman" w:hAnsi="Arial" w:cs="Arial"/>
          <w:lang w:eastAsia="en-GB"/>
        </w:rPr>
        <w:t>s*</w:t>
      </w:r>
    </w:p>
    <w:p w14:paraId="440A6B33" w14:textId="6C173BD9" w:rsidR="00775F42" w:rsidRPr="00CD2952" w:rsidRDefault="00775F42" w:rsidP="0046098B">
      <w:pPr>
        <w:spacing w:before="100" w:beforeAutospacing="1" w:after="100" w:afterAutospacing="1"/>
        <w:ind w:left="720" w:hanging="720"/>
        <w:jc w:val="both"/>
        <w:rPr>
          <w:rFonts w:ascii="Arial" w:hAnsi="Arial" w:cs="Arial"/>
        </w:rPr>
      </w:pPr>
      <w:r w:rsidRPr="00CD2952">
        <w:rPr>
          <w:rFonts w:ascii="Arial" w:eastAsia="Times New Roman" w:hAnsi="Arial" w:cs="Arial"/>
          <w:lang w:eastAsia="en-GB"/>
        </w:rPr>
        <w:t>18.4.5.</w:t>
      </w:r>
      <w:r w:rsidRPr="00CD2952">
        <w:rPr>
          <w:rFonts w:ascii="Arial" w:eastAsia="Times New Roman" w:hAnsi="Arial" w:cs="Arial"/>
          <w:lang w:eastAsia="en-GB"/>
        </w:rPr>
        <w:tab/>
      </w:r>
      <w:r w:rsidR="00253079" w:rsidRPr="00CD2952">
        <w:rPr>
          <w:rFonts w:ascii="Arial" w:eastAsia="Times New Roman" w:hAnsi="Arial" w:cs="Arial"/>
          <w:lang w:eastAsia="en-GB"/>
        </w:rPr>
        <w:t>The transactions on ABW will be updated with statuses to reflect the current stage of the collection process and legal action as follow</w:t>
      </w:r>
      <w:r w:rsidR="0046098B" w:rsidRPr="00CD2952">
        <w:rPr>
          <w:rFonts w:ascii="Arial" w:eastAsia="Times New Roman" w:hAnsi="Arial" w:cs="Arial"/>
          <w:lang w:eastAsia="en-GB"/>
        </w:rPr>
        <w:t>s:</w:t>
      </w:r>
    </w:p>
    <w:p w14:paraId="0BC201D6" w14:textId="5B1E8DB1" w:rsidR="00E25265" w:rsidRPr="00CD2952" w:rsidRDefault="00E25265" w:rsidP="5BF1A02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pPr w:leftFromText="180" w:rightFromText="180" w:vertAnchor="text" w:horzAnchor="margin" w:tblpY="212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145"/>
        <w:gridCol w:w="1455"/>
      </w:tblGrid>
      <w:tr w:rsidR="00E25265" w:rsidRPr="00CD2952" w14:paraId="7EE589AE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F3B69C3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Reference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31FF54C8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Description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1E5A74F1" w14:textId="77777777" w:rsidR="00E25265" w:rsidRPr="00CD2952" w:rsidRDefault="00E25265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Category</w:t>
            </w:r>
          </w:p>
        </w:tc>
      </w:tr>
      <w:tr w:rsidR="00E25265" w:rsidRPr="00CD2952" w14:paraId="6AB4F536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4CBA42BB" w14:textId="3C75A71F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I</w:t>
            </w:r>
            <w:r w:rsidR="275381F1" w:rsidRPr="00CD2952">
              <w:rPr>
                <w:rFonts w:ascii="Arial" w:eastAsia="Times New Roman" w:hAnsi="Arial" w:cs="Arial"/>
                <w:lang w:val="en-GB" w:eastAsia="en-GB"/>
              </w:rPr>
              <w:t>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5D908F92" w14:textId="68320F00" w:rsidR="00E25265" w:rsidRPr="00CD2952" w:rsidRDefault="00619624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Paying instalments</w:t>
            </w:r>
            <w:r w:rsidR="00E25265" w:rsidRPr="00CD2952">
              <w:rPr>
                <w:rFonts w:ascii="Arial" w:eastAsia="Times New Roman" w:hAnsi="Arial" w:cs="Arial"/>
                <w:lang w:val="en-GB" w:eastAsia="en-GB"/>
              </w:rPr>
              <w:t xml:space="preserve"> to AU**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2AD5F7B" w14:textId="77777777" w:rsidR="00E25265" w:rsidRPr="00CD2952" w:rsidRDefault="00E25265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Pre-referral</w:t>
            </w:r>
          </w:p>
        </w:tc>
      </w:tr>
      <w:tr w:rsidR="00E25265" w:rsidRPr="00CD2952" w14:paraId="6D433644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6AD7BEAD" w14:textId="3BAFB34B" w:rsidR="00E25265" w:rsidRPr="00CD2952" w:rsidRDefault="3257741D" w:rsidP="18F3848E">
            <w:pPr>
              <w:spacing w:after="0" w:line="240" w:lineRule="auto"/>
              <w:rPr>
                <w:rFonts w:ascii="Arial" w:hAnsi="Arial" w:cs="Arial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R0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18730C57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Referred to collection agents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14:paraId="6DD88F18" w14:textId="77777777" w:rsidR="00E25265" w:rsidRPr="00CD2952" w:rsidRDefault="00E25265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Referral</w:t>
            </w:r>
          </w:p>
        </w:tc>
      </w:tr>
      <w:tr w:rsidR="00E25265" w:rsidRPr="00CD2952" w14:paraId="452E2D66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A8947A4" w14:textId="4BDD447F" w:rsidR="00E25265" w:rsidRPr="00CD2952" w:rsidRDefault="1BDAD81E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0BEC7F81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Legal action instigated</w:t>
            </w:r>
          </w:p>
        </w:tc>
        <w:tc>
          <w:tcPr>
            <w:tcW w:w="1455" w:type="dxa"/>
            <w:vMerge/>
            <w:vAlign w:val="center"/>
            <w:hideMark/>
          </w:tcPr>
          <w:p w14:paraId="72A3D3EC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CD2952" w14:paraId="2EBCCCF7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33B112B5" w14:textId="30EAC2C0" w:rsidR="00E25265" w:rsidRPr="00CD2952" w:rsidRDefault="5D422BC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R2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1F7985D3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Judgement obtained</w:t>
            </w:r>
          </w:p>
        </w:tc>
        <w:tc>
          <w:tcPr>
            <w:tcW w:w="1455" w:type="dxa"/>
            <w:vMerge/>
            <w:vAlign w:val="center"/>
            <w:hideMark/>
          </w:tcPr>
          <w:p w14:paraId="0D0B940D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CD2952" w14:paraId="39535924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919E208" w14:textId="734DF50D" w:rsidR="00E25265" w:rsidRPr="00CD2952" w:rsidRDefault="29B7A9E0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R3</w:t>
            </w:r>
            <w:r w:rsidR="00E25265" w:rsidRPr="00CD2952">
              <w:rPr>
                <w:rFonts w:ascii="Arial" w:eastAsia="Times New Roman" w:hAnsi="Arial" w:cs="Arial"/>
                <w:lang w:val="en-GB" w:eastAsia="en-GB"/>
              </w:rPr>
              <w:t>3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5F478BEF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Judgement enforcement active</w:t>
            </w:r>
          </w:p>
        </w:tc>
        <w:tc>
          <w:tcPr>
            <w:tcW w:w="1455" w:type="dxa"/>
            <w:vMerge/>
            <w:vAlign w:val="center"/>
            <w:hideMark/>
          </w:tcPr>
          <w:p w14:paraId="0E27B00A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CD2952" w14:paraId="4189F888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061E5EFE" w14:textId="1FCA1B34" w:rsidR="00E25265" w:rsidRPr="00CD2952" w:rsidRDefault="41DAD682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C</w:t>
            </w:r>
            <w:r w:rsidR="00E25265" w:rsidRPr="00CD2952">
              <w:rPr>
                <w:rFonts w:ascii="Arial" w:eastAsia="Times New Roman" w:hAnsi="Arial" w:cs="Arial"/>
                <w:lang w:val="en-GB" w:eastAsia="en-GB"/>
              </w:rPr>
              <w:t>1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6DDFB7CC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No referral due to value or non-standard reasons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14:paraId="709A0B4A" w14:textId="77777777" w:rsidR="00E25265" w:rsidRPr="00CD2952" w:rsidRDefault="00E25265" w:rsidP="00433A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For write-off</w:t>
            </w:r>
          </w:p>
        </w:tc>
      </w:tr>
      <w:tr w:rsidR="00E25265" w:rsidRPr="00CD2952" w14:paraId="3F3AA8B2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5F1E8C99" w14:textId="0F274620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C2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682CAD1A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Referred however no legal action due to value</w:t>
            </w:r>
          </w:p>
        </w:tc>
        <w:tc>
          <w:tcPr>
            <w:tcW w:w="1455" w:type="dxa"/>
            <w:vMerge/>
            <w:vAlign w:val="center"/>
            <w:hideMark/>
          </w:tcPr>
          <w:p w14:paraId="60061E4C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E25265" w:rsidRPr="00CD2952" w14:paraId="4BAA21C2" w14:textId="77777777" w:rsidTr="006833DC">
        <w:trPr>
          <w:trHeight w:val="300"/>
        </w:trPr>
        <w:tc>
          <w:tcPr>
            <w:tcW w:w="1236" w:type="dxa"/>
            <w:shd w:val="clear" w:color="auto" w:fill="auto"/>
            <w:noWrap/>
            <w:vAlign w:val="bottom"/>
            <w:hideMark/>
          </w:tcPr>
          <w:p w14:paraId="211AF5FF" w14:textId="3BAF6E2E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C3</w:t>
            </w: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3B372953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>Judgement obtained however trace or enforcement unsuccessful</w:t>
            </w:r>
          </w:p>
        </w:tc>
        <w:tc>
          <w:tcPr>
            <w:tcW w:w="1455" w:type="dxa"/>
            <w:vMerge/>
            <w:vAlign w:val="center"/>
            <w:hideMark/>
          </w:tcPr>
          <w:p w14:paraId="44EAFD9C" w14:textId="77777777" w:rsidR="00E25265" w:rsidRPr="00CD2952" w:rsidRDefault="00E25265" w:rsidP="00433A3D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3DEEC669" w14:textId="1B6E8CE5" w:rsidR="00E25265" w:rsidRPr="00CD2952" w:rsidRDefault="0926C641" w:rsidP="18F3848E">
      <w:pPr>
        <w:rPr>
          <w:rFonts w:ascii="Arial" w:hAnsi="Arial" w:cs="Arial"/>
        </w:rPr>
      </w:pPr>
      <w:r w:rsidRPr="00CD2952">
        <w:rPr>
          <w:rFonts w:ascii="Arial" w:hAnsi="Arial" w:cs="Arial"/>
        </w:rPr>
        <w:t>The Collection agency code STA or ORL will also be entered in the ABW account</w:t>
      </w:r>
    </w:p>
    <w:p w14:paraId="212FADAE" w14:textId="77777777" w:rsidR="003B04BB" w:rsidRPr="00CD2952" w:rsidRDefault="00E25265" w:rsidP="003B04BB">
      <w:pPr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>**</w:t>
      </w:r>
      <w:r w:rsidRPr="00CD2952">
        <w:rPr>
          <w:rFonts w:ascii="Arial" w:hAnsi="Arial" w:cs="Arial"/>
          <w:i/>
        </w:rPr>
        <w:t xml:space="preserve">Aberystwyth University will seek to </w:t>
      </w:r>
      <w:proofErr w:type="gramStart"/>
      <w:r w:rsidRPr="00CD2952">
        <w:rPr>
          <w:rFonts w:ascii="Arial" w:hAnsi="Arial" w:cs="Arial"/>
          <w:i/>
        </w:rPr>
        <w:t>enter into</w:t>
      </w:r>
      <w:proofErr w:type="gramEnd"/>
      <w:r w:rsidRPr="00CD2952">
        <w:rPr>
          <w:rFonts w:ascii="Arial" w:hAnsi="Arial" w:cs="Arial"/>
          <w:i/>
        </w:rPr>
        <w:t xml:space="preserve"> short-term instalment plans only</w:t>
      </w:r>
      <w:r w:rsidR="00650E1C" w:rsidRPr="00CD2952">
        <w:rPr>
          <w:rFonts w:ascii="Arial" w:hAnsi="Arial" w:cs="Arial"/>
          <w:i/>
        </w:rPr>
        <w:t xml:space="preserve"> up to a maximum of 6 months</w:t>
      </w:r>
      <w:r w:rsidRPr="00CD2952">
        <w:rPr>
          <w:rFonts w:ascii="Arial" w:hAnsi="Arial" w:cs="Arial"/>
          <w:i/>
        </w:rPr>
        <w:t>. Longer-term instalment plans will be directed to external debt collection agents for ease of monitoring.</w:t>
      </w:r>
    </w:p>
    <w:p w14:paraId="3656B9AB" w14:textId="77777777" w:rsidR="003B04BB" w:rsidRPr="00CD2952" w:rsidRDefault="003B04BB" w:rsidP="003B04BB">
      <w:pPr>
        <w:rPr>
          <w:rFonts w:ascii="Arial" w:hAnsi="Arial" w:cs="Arial"/>
        </w:rPr>
      </w:pPr>
      <w:r w:rsidRPr="00CD2952">
        <w:rPr>
          <w:rFonts w:ascii="Arial" w:hAnsi="Arial" w:cs="Arial"/>
        </w:rPr>
        <w:br w:type="page"/>
      </w:r>
    </w:p>
    <w:p w14:paraId="45FB0818" w14:textId="77777777" w:rsidR="003B04BB" w:rsidRPr="00CD2952" w:rsidRDefault="003B04BB" w:rsidP="003B04BB">
      <w:pPr>
        <w:jc w:val="both"/>
        <w:rPr>
          <w:rFonts w:ascii="Arial" w:hAnsi="Arial" w:cs="Arial"/>
        </w:rPr>
      </w:pPr>
    </w:p>
    <w:p w14:paraId="5BEEEC84" w14:textId="39A84382" w:rsidR="00E25265" w:rsidRPr="00CD2952" w:rsidRDefault="5294D9F3" w:rsidP="5BF1A02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70C0"/>
        </w:rPr>
      </w:pPr>
      <w:r w:rsidRPr="00CD2952">
        <w:rPr>
          <w:rFonts w:ascii="Arial" w:hAnsi="Arial" w:cs="Arial"/>
          <w:b/>
          <w:bCs/>
          <w:color w:val="0070C0"/>
        </w:rPr>
        <w:t>1</w:t>
      </w:r>
      <w:r w:rsidR="000648E4" w:rsidRPr="00CD2952">
        <w:rPr>
          <w:rFonts w:ascii="Arial" w:hAnsi="Arial" w:cs="Arial"/>
          <w:b/>
          <w:bCs/>
          <w:color w:val="0070C0"/>
        </w:rPr>
        <w:t>8</w:t>
      </w:r>
      <w:r w:rsidRPr="00CD2952">
        <w:rPr>
          <w:rFonts w:ascii="Arial" w:hAnsi="Arial" w:cs="Arial"/>
          <w:b/>
          <w:bCs/>
          <w:color w:val="0070C0"/>
        </w:rPr>
        <w:t>.5. Write</w:t>
      </w:r>
      <w:r w:rsidR="00E25265" w:rsidRPr="00CD2952">
        <w:rPr>
          <w:rFonts w:ascii="Arial" w:hAnsi="Arial" w:cs="Arial"/>
          <w:b/>
          <w:bCs/>
          <w:color w:val="0070C0"/>
        </w:rPr>
        <w:t>-off</w:t>
      </w:r>
    </w:p>
    <w:p w14:paraId="49C0AAEA" w14:textId="201E95CA" w:rsidR="00E25265" w:rsidRPr="00CD2952" w:rsidRDefault="00E25265" w:rsidP="5BF1A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n-GB"/>
        </w:rPr>
      </w:pPr>
      <w:r w:rsidRPr="00CD2952">
        <w:rPr>
          <w:rFonts w:ascii="Arial" w:eastAsia="Times New Roman" w:hAnsi="Arial" w:cs="Arial"/>
          <w:lang w:eastAsia="en-GB"/>
        </w:rPr>
        <w:t xml:space="preserve">Where the University has been unsuccessful in securing payment, the Finance Department will propose the writing </w:t>
      </w:r>
      <w:r w:rsidR="484329ED" w:rsidRPr="00CD2952">
        <w:rPr>
          <w:rFonts w:ascii="Arial" w:eastAsia="Times New Roman" w:hAnsi="Arial" w:cs="Arial"/>
          <w:lang w:eastAsia="en-GB"/>
        </w:rPr>
        <w:t>off</w:t>
      </w:r>
      <w:r w:rsidRPr="00CD2952">
        <w:rPr>
          <w:rFonts w:ascii="Arial" w:eastAsia="Times New Roman" w:hAnsi="Arial" w:cs="Arial"/>
          <w:lang w:eastAsia="en-GB"/>
        </w:rPr>
        <w:t xml:space="preserve"> debts, </w:t>
      </w:r>
      <w:r w:rsidRPr="00CD2952">
        <w:rPr>
          <w:rFonts w:ascii="Arial" w:hAnsi="Arial" w:cs="Arial"/>
        </w:rPr>
        <w:t xml:space="preserve">subject to appropriate approval in accordance with the schedule of Financial Delegations of Authority*, </w:t>
      </w:r>
      <w:r w:rsidRPr="00CD2952">
        <w:rPr>
          <w:rFonts w:ascii="Arial" w:eastAsia="Times New Roman" w:hAnsi="Arial" w:cs="Arial"/>
          <w:lang w:eastAsia="en-GB"/>
        </w:rPr>
        <w:t>where one of the following criteria has been met:</w:t>
      </w:r>
    </w:p>
    <w:p w14:paraId="5FBDF4D7" w14:textId="77777777" w:rsidR="00E25265" w:rsidRPr="00CD2952" w:rsidRDefault="00E25265" w:rsidP="003A2E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CD2952">
        <w:rPr>
          <w:rFonts w:ascii="Arial" w:eastAsia="Times New Roman" w:hAnsi="Arial" w:cs="Arial"/>
          <w:lang w:eastAsia="en-GB"/>
        </w:rPr>
        <w:t xml:space="preserve">The total value of the debt is considered small value** and standard collection processes have been completed. </w:t>
      </w:r>
    </w:p>
    <w:p w14:paraId="38A71CB4" w14:textId="55CD010D" w:rsidR="00E25265" w:rsidRPr="00CD2952" w:rsidRDefault="00E25265" w:rsidP="5BF1A02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2952">
        <w:rPr>
          <w:rFonts w:ascii="Arial" w:eastAsia="Times New Roman" w:hAnsi="Arial" w:cs="Arial"/>
          <w:lang w:eastAsia="en-GB"/>
        </w:rPr>
        <w:t xml:space="preserve">The debt has been referred to </w:t>
      </w:r>
      <w:r w:rsidR="24FBFEA7" w:rsidRPr="00CD2952">
        <w:rPr>
          <w:rFonts w:ascii="Arial" w:eastAsia="Times New Roman" w:hAnsi="Arial" w:cs="Arial"/>
          <w:lang w:eastAsia="en-GB"/>
        </w:rPr>
        <w:t>the debt collection agency</w:t>
      </w:r>
      <w:r w:rsidRPr="00CD2952">
        <w:rPr>
          <w:rFonts w:ascii="Arial" w:eastAsia="Times New Roman" w:hAnsi="Arial" w:cs="Arial"/>
          <w:lang w:eastAsia="en-GB"/>
        </w:rPr>
        <w:t xml:space="preserve"> and all their efforts prior to commencing legal action have failed to secure payment**.</w:t>
      </w:r>
    </w:p>
    <w:p w14:paraId="6F3859E3" w14:textId="77777777" w:rsidR="00E25265" w:rsidRPr="00CD2952" w:rsidRDefault="00E25265" w:rsidP="003A2ED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 xml:space="preserve"> A County Court Judgement has been obtained however the debtor’s whereabouts are unknown and a legal trace has proved unsuccessful. The judgement will remain in place and in the event of the debtor contacting the University in future to </w:t>
      </w:r>
      <w:proofErr w:type="gramStart"/>
      <w:r w:rsidRPr="00CD2952">
        <w:rPr>
          <w:rFonts w:ascii="Arial" w:hAnsi="Arial" w:cs="Arial"/>
        </w:rPr>
        <w:t>make arrangements</w:t>
      </w:r>
      <w:proofErr w:type="gramEnd"/>
      <w:r w:rsidRPr="00CD2952">
        <w:rPr>
          <w:rFonts w:ascii="Arial" w:hAnsi="Arial" w:cs="Arial"/>
        </w:rPr>
        <w:t xml:space="preserve"> for a settlement, the debt will be resurrected.</w:t>
      </w:r>
    </w:p>
    <w:p w14:paraId="59AFCA59" w14:textId="77777777" w:rsidR="00E25265" w:rsidRPr="00CD2952" w:rsidRDefault="00E25265" w:rsidP="003A2ED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 xml:space="preserve">A County Court Judgement has been obtained however the </w:t>
      </w:r>
      <w:r w:rsidRPr="00CD2952">
        <w:rPr>
          <w:rFonts w:ascii="Arial" w:eastAsia="Times New Roman" w:hAnsi="Arial" w:cs="Arial"/>
          <w:lang w:eastAsia="en-GB"/>
        </w:rPr>
        <w:t xml:space="preserve">total debt is below the threshold for </w:t>
      </w:r>
      <w:r w:rsidRPr="00CD2952">
        <w:rPr>
          <w:rFonts w:ascii="Arial" w:hAnsi="Arial" w:cs="Arial"/>
        </w:rPr>
        <w:t>enforcement by the High Court Enforcement Officers**.</w:t>
      </w:r>
    </w:p>
    <w:p w14:paraId="3AAA52C9" w14:textId="77777777" w:rsidR="00E25265" w:rsidRPr="00EB2809" w:rsidRDefault="00E25265" w:rsidP="003A2E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highlight w:val="yellow"/>
        </w:rPr>
      </w:pPr>
      <w:r w:rsidRPr="00EB2809">
        <w:rPr>
          <w:rFonts w:ascii="Arial" w:hAnsi="Arial" w:cs="Arial"/>
          <w:highlight w:val="yellow"/>
        </w:rPr>
        <w:t xml:space="preserve">A County Court Judgement has been obtained, the </w:t>
      </w:r>
      <w:r w:rsidRPr="00EB2809">
        <w:rPr>
          <w:rFonts w:ascii="Arial" w:eastAsia="Times New Roman" w:hAnsi="Arial" w:cs="Arial"/>
          <w:highlight w:val="yellow"/>
          <w:lang w:eastAsia="en-GB"/>
        </w:rPr>
        <w:t>total debt is equal to or greater than the threshold</w:t>
      </w:r>
      <w:r w:rsidRPr="00EB2809">
        <w:rPr>
          <w:rFonts w:ascii="Arial" w:hAnsi="Arial" w:cs="Arial"/>
          <w:highlight w:val="yellow"/>
        </w:rPr>
        <w:t xml:space="preserve"> for enforcement by the High Court Enforcement Officers**. Their efforts have proved unsuccessful in two attempts over a two-year period. The judgement will remain in place and in the event of the debtor contacting the University in future to </w:t>
      </w:r>
      <w:proofErr w:type="gramStart"/>
      <w:r w:rsidRPr="00EB2809">
        <w:rPr>
          <w:rFonts w:ascii="Arial" w:hAnsi="Arial" w:cs="Arial"/>
          <w:highlight w:val="yellow"/>
        </w:rPr>
        <w:t>make arrangements</w:t>
      </w:r>
      <w:proofErr w:type="gramEnd"/>
      <w:r w:rsidRPr="00EB2809">
        <w:rPr>
          <w:rFonts w:ascii="Arial" w:hAnsi="Arial" w:cs="Arial"/>
          <w:highlight w:val="yellow"/>
        </w:rPr>
        <w:t xml:space="preserve"> for a settlement, the debt will be resurrected.</w:t>
      </w:r>
    </w:p>
    <w:p w14:paraId="27DCE589" w14:textId="77777777" w:rsidR="00E25265" w:rsidRPr="00EB2809" w:rsidRDefault="00E25265" w:rsidP="003A2ED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highlight w:val="yellow"/>
        </w:rPr>
      </w:pPr>
      <w:r w:rsidRPr="00EB2809">
        <w:rPr>
          <w:rFonts w:ascii="Arial" w:hAnsi="Arial" w:cs="Arial"/>
          <w:highlight w:val="yellow"/>
        </w:rPr>
        <w:t>Any ad-hoc reasons subject to appropriate approval.</w:t>
      </w:r>
    </w:p>
    <w:p w14:paraId="62B6713A" w14:textId="77777777" w:rsidR="00E25265" w:rsidRPr="00CD2952" w:rsidRDefault="00E25265" w:rsidP="003A2EDB">
      <w:pPr>
        <w:spacing w:after="0" w:line="240" w:lineRule="auto"/>
        <w:jc w:val="both"/>
        <w:rPr>
          <w:rFonts w:ascii="Arial" w:hAnsi="Arial" w:cs="Arial"/>
          <w:i/>
        </w:rPr>
      </w:pPr>
      <w:r w:rsidRPr="00CD2952">
        <w:rPr>
          <w:rFonts w:ascii="Arial" w:hAnsi="Arial" w:cs="Arial"/>
          <w:i/>
        </w:rPr>
        <w:t>*S</w:t>
      </w:r>
      <w:r w:rsidR="008276A5" w:rsidRPr="00CD2952">
        <w:rPr>
          <w:rFonts w:ascii="Arial" w:hAnsi="Arial" w:cs="Arial"/>
          <w:i/>
        </w:rPr>
        <w:t>ee appendix A</w:t>
      </w:r>
      <w:r w:rsidRPr="00CD2952">
        <w:rPr>
          <w:rFonts w:ascii="Arial" w:hAnsi="Arial" w:cs="Arial"/>
          <w:i/>
        </w:rPr>
        <w:t>1 for full details</w:t>
      </w:r>
    </w:p>
    <w:p w14:paraId="133BEBA1" w14:textId="77777777" w:rsidR="00E25265" w:rsidRPr="00CD2952" w:rsidRDefault="008276A5" w:rsidP="003A2EDB">
      <w:pPr>
        <w:spacing w:after="100" w:afterAutospacing="1" w:line="240" w:lineRule="auto"/>
        <w:jc w:val="both"/>
        <w:rPr>
          <w:rFonts w:ascii="Arial" w:hAnsi="Arial" w:cs="Arial"/>
          <w:i/>
          <w:color w:val="2F5496" w:themeColor="accent5" w:themeShade="BF"/>
        </w:rPr>
      </w:pPr>
      <w:r w:rsidRPr="00CD2952">
        <w:rPr>
          <w:rFonts w:ascii="Arial" w:eastAsia="Times New Roman" w:hAnsi="Arial" w:cs="Arial"/>
          <w:i/>
          <w:lang w:eastAsia="en-GB"/>
        </w:rPr>
        <w:t>**See appendix B</w:t>
      </w:r>
      <w:r w:rsidR="00E25265" w:rsidRPr="00CD2952">
        <w:rPr>
          <w:rFonts w:ascii="Arial" w:eastAsia="Times New Roman" w:hAnsi="Arial" w:cs="Arial"/>
          <w:i/>
          <w:lang w:eastAsia="en-GB"/>
        </w:rPr>
        <w:t>1 for table of applicable values</w:t>
      </w:r>
    </w:p>
    <w:p w14:paraId="460C4961" w14:textId="77777777" w:rsidR="00E25265" w:rsidRPr="00CD2952" w:rsidRDefault="00E25265" w:rsidP="003A2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2952">
        <w:rPr>
          <w:rFonts w:ascii="Arial" w:hAnsi="Arial" w:cs="Arial"/>
        </w:rPr>
        <w:t xml:space="preserve">Any small balances resulting from bank charges or differences in exchange can be credited subject to approval from the Fees and Cash Manager </w:t>
      </w:r>
      <w:r w:rsidR="00B13EC5" w:rsidRPr="00CD2952">
        <w:rPr>
          <w:rFonts w:ascii="Arial" w:hAnsi="Arial" w:cs="Arial"/>
        </w:rPr>
        <w:t>-</w:t>
      </w:r>
      <w:r w:rsidRPr="00CD2952">
        <w:rPr>
          <w:rFonts w:ascii="Arial" w:hAnsi="Arial" w:cs="Arial"/>
        </w:rPr>
        <w:t xml:space="preserve">. </w:t>
      </w:r>
    </w:p>
    <w:p w14:paraId="049F31CB" w14:textId="77777777" w:rsidR="008276A5" w:rsidRPr="00CD2952" w:rsidRDefault="008276A5" w:rsidP="003A2EDB">
      <w:pPr>
        <w:jc w:val="both"/>
        <w:rPr>
          <w:rFonts w:ascii="Arial" w:hAnsi="Arial" w:cs="Arial"/>
          <w:b/>
        </w:rPr>
      </w:pPr>
      <w:r w:rsidRPr="00CD2952">
        <w:rPr>
          <w:rFonts w:ascii="Arial" w:hAnsi="Arial" w:cs="Arial"/>
          <w:b/>
        </w:rPr>
        <w:br w:type="page"/>
      </w:r>
    </w:p>
    <w:p w14:paraId="415A6A99" w14:textId="77777777" w:rsidR="008276A5" w:rsidRPr="00CD2952" w:rsidRDefault="003B04BB" w:rsidP="009447F1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CD2952">
        <w:rPr>
          <w:rFonts w:ascii="Arial" w:hAnsi="Arial" w:cs="Arial"/>
          <w:b/>
        </w:rPr>
        <w:lastRenderedPageBreak/>
        <w:t>Appendices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276A5" w:rsidRPr="00CD2952" w14:paraId="634F978D" w14:textId="77777777" w:rsidTr="5BF1A0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753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Appendix </w:t>
            </w:r>
            <w:r w:rsidR="00027445" w:rsidRPr="00CD2952">
              <w:rPr>
                <w:rFonts w:ascii="Arial" w:eastAsia="Times New Roman" w:hAnsi="Arial" w:cs="Arial"/>
                <w:b/>
                <w:bCs/>
                <w:lang w:eastAsia="en-GB"/>
              </w:rPr>
              <w:t>A</w:t>
            </w:r>
            <w:r w:rsidRPr="00CD2952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lang w:val="en-GB" w:eastAsia="en-GB"/>
              </w:rPr>
              <w:t> </w:t>
            </w:r>
          </w:p>
        </w:tc>
      </w:tr>
      <w:tr w:rsidR="00EE4351" w:rsidRPr="00CD2952" w14:paraId="5D6BFBA1" w14:textId="77777777" w:rsidTr="5BF1A02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D3BB" w14:textId="77777777" w:rsidR="00EE4351" w:rsidRPr="00CD2952" w:rsidRDefault="00EE4351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CD2952">
              <w:rPr>
                <w:rFonts w:ascii="Arial" w:eastAsia="Times New Roman" w:hAnsi="Arial" w:cs="Arial"/>
                <w:bCs/>
                <w:lang w:eastAsia="en-GB"/>
              </w:rPr>
              <w:t>Instalment plans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B84D" w14:textId="77777777" w:rsidR="00EE4351" w:rsidRPr="00CD2952" w:rsidRDefault="00EE4351" w:rsidP="006A3823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Cs/>
                <w:lang w:val="en-GB" w:eastAsia="en-GB"/>
              </w:rPr>
              <w:t xml:space="preserve">Any non-standard instalment arrangements must be approved by the </w:t>
            </w:r>
            <w:r w:rsidR="00B13EC5" w:rsidRPr="00CD2952">
              <w:rPr>
                <w:rFonts w:ascii="Arial" w:eastAsia="Times New Roman" w:hAnsi="Arial" w:cs="Arial"/>
                <w:bCs/>
                <w:lang w:val="en-GB" w:eastAsia="en-GB"/>
              </w:rPr>
              <w:t>Fees and Cash Manager</w:t>
            </w:r>
            <w:r w:rsidR="006A3823" w:rsidRPr="00CD2952">
              <w:rPr>
                <w:rFonts w:ascii="Arial" w:eastAsia="Times New Roman" w:hAnsi="Arial" w:cs="Arial"/>
                <w:bCs/>
                <w:lang w:val="en-GB" w:eastAsia="en-GB"/>
              </w:rPr>
              <w:t xml:space="preserve"> </w:t>
            </w:r>
            <w:r w:rsidRPr="00CD2952">
              <w:rPr>
                <w:rFonts w:ascii="Arial" w:eastAsia="Times New Roman" w:hAnsi="Arial" w:cs="Arial"/>
                <w:bCs/>
                <w:lang w:val="en-GB" w:eastAsia="en-GB"/>
              </w:rPr>
              <w:t xml:space="preserve">or higher grade. </w:t>
            </w:r>
          </w:p>
        </w:tc>
      </w:tr>
      <w:tr w:rsidR="008276A5" w:rsidRPr="00CD2952" w14:paraId="133180FD" w14:textId="77777777" w:rsidTr="5BF1A02C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ED96" w14:textId="77777777" w:rsidR="008276A5" w:rsidRPr="00CD2952" w:rsidRDefault="00EE4351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Cs/>
                <w:lang w:eastAsia="en-GB"/>
              </w:rPr>
              <w:t>Referral to debt collection agents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A66" w14:textId="77777777" w:rsidR="008276A5" w:rsidRPr="00CD2952" w:rsidRDefault="00EE4351" w:rsidP="00C661D7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val="en-GB" w:eastAsia="en-GB"/>
              </w:rPr>
              <w:t xml:space="preserve">Issuing departments </w:t>
            </w:r>
            <w:r w:rsidR="00C661D7" w:rsidRPr="00CD2952">
              <w:rPr>
                <w:rFonts w:ascii="Arial" w:eastAsia="Times New Roman" w:hAnsi="Arial" w:cs="Arial"/>
                <w:lang w:val="en-GB" w:eastAsia="en-GB"/>
              </w:rPr>
              <w:t>will be provided with a monthly</w:t>
            </w:r>
            <w:r w:rsidR="00B13EC5" w:rsidRPr="00CD2952">
              <w:rPr>
                <w:rFonts w:ascii="Arial" w:eastAsia="Times New Roman" w:hAnsi="Arial" w:cs="Arial"/>
                <w:lang w:val="en-GB" w:eastAsia="en-GB"/>
              </w:rPr>
              <w:t xml:space="preserve"> list of debtors </w:t>
            </w:r>
            <w:r w:rsidR="00C661D7" w:rsidRPr="00CD2952">
              <w:rPr>
                <w:rFonts w:ascii="Arial" w:eastAsia="Times New Roman" w:hAnsi="Arial" w:cs="Arial"/>
                <w:lang w:val="en-GB" w:eastAsia="en-GB"/>
              </w:rPr>
              <w:t>informing them the debt will be assigned to the debt collection agents and if unsuccessful the debt will be written back to the department.</w:t>
            </w:r>
          </w:p>
        </w:tc>
      </w:tr>
      <w:tr w:rsidR="00B13EC5" w:rsidRPr="00CD2952" w14:paraId="01A084B1" w14:textId="77777777" w:rsidTr="5BF1A02C">
        <w:trPr>
          <w:trHeight w:val="10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82C" w14:textId="77777777" w:rsidR="00B13EC5" w:rsidRPr="00CD2952" w:rsidRDefault="00B13EC5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CD2952">
              <w:rPr>
                <w:rFonts w:ascii="Arial" w:eastAsia="Times New Roman" w:hAnsi="Arial" w:cs="Arial"/>
                <w:bCs/>
                <w:lang w:eastAsia="en-GB"/>
              </w:rPr>
              <w:t>Reversal of sanctions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0041" w14:textId="39ADEDD7" w:rsidR="00B13EC5" w:rsidRPr="00CD2952" w:rsidRDefault="00B13EC5" w:rsidP="00433A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D2952">
              <w:rPr>
                <w:rFonts w:ascii="Arial" w:eastAsia="Times New Roman" w:hAnsi="Arial" w:cs="Arial"/>
                <w:lang w:eastAsia="en-GB"/>
              </w:rPr>
              <w:t xml:space="preserve">Sanctions may be reversed when full payment is </w:t>
            </w:r>
            <w:r w:rsidR="21B33844" w:rsidRPr="00CD2952">
              <w:rPr>
                <w:rFonts w:ascii="Arial" w:eastAsia="Times New Roman" w:hAnsi="Arial" w:cs="Arial"/>
                <w:lang w:eastAsia="en-GB"/>
              </w:rPr>
              <w:t>received,</w:t>
            </w:r>
            <w:r w:rsidRPr="00CD2952">
              <w:rPr>
                <w:rFonts w:ascii="Arial" w:eastAsia="Times New Roman" w:hAnsi="Arial" w:cs="Arial"/>
                <w:lang w:eastAsia="en-GB"/>
              </w:rPr>
              <w:t xml:space="preserve"> or a credit note issued. In this instance STA should be informed.  Reversing of sanctions for any other reason must be approved by Fees and Cash Manager or higher grade.</w:t>
            </w:r>
          </w:p>
        </w:tc>
      </w:tr>
      <w:tr w:rsidR="008276A5" w:rsidRPr="00CD2952" w14:paraId="6BC54C08" w14:textId="77777777" w:rsidTr="5BF1A02C">
        <w:trPr>
          <w:trHeight w:val="15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DEAA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Cs/>
                <w:lang w:eastAsia="en-GB"/>
              </w:rPr>
              <w:t>Write-off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EE4" w14:textId="7AFA1F1E" w:rsidR="008276A5" w:rsidRPr="00CD2952" w:rsidRDefault="008276A5" w:rsidP="003B04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lang w:eastAsia="en-GB"/>
              </w:rPr>
              <w:t xml:space="preserve">Appendix B of the Financial Delegations of Authority states that the </w:t>
            </w:r>
            <w:r w:rsidR="3CE524E4" w:rsidRPr="00CD2952">
              <w:rPr>
                <w:rFonts w:ascii="Arial" w:eastAsia="Times New Roman" w:hAnsi="Arial" w:cs="Arial"/>
                <w:lang w:eastAsia="en-GB"/>
              </w:rPr>
              <w:t xml:space="preserve">Deputy </w:t>
            </w:r>
            <w:r w:rsidRPr="00CD2952">
              <w:rPr>
                <w:rFonts w:ascii="Arial" w:eastAsia="Times New Roman" w:hAnsi="Arial" w:cs="Arial"/>
                <w:lang w:eastAsia="en-GB"/>
              </w:rPr>
              <w:t>Director of Finance has delegated authority to approve debtor write-off up to the value of £5K and the Vice-Chancellor/Executive has the delegated authority to approve debtor write-off up to the value of £100</w:t>
            </w:r>
            <w:r w:rsidR="18123A21" w:rsidRPr="00CD2952">
              <w:rPr>
                <w:rFonts w:ascii="Arial" w:eastAsia="Times New Roman" w:hAnsi="Arial" w:cs="Arial"/>
                <w:lang w:eastAsia="en-GB"/>
              </w:rPr>
              <w:t xml:space="preserve">K. </w:t>
            </w:r>
            <w:r w:rsidR="003B04BB" w:rsidRPr="00CD2952">
              <w:rPr>
                <w:rFonts w:ascii="Arial" w:eastAsia="Times New Roman" w:hAnsi="Arial" w:cs="Arial"/>
                <w:lang w:eastAsia="en-GB"/>
              </w:rPr>
              <w:t>Resources and Performance</w:t>
            </w:r>
            <w:r w:rsidRPr="00CD2952">
              <w:rPr>
                <w:rFonts w:ascii="Arial" w:eastAsia="Times New Roman" w:hAnsi="Arial" w:cs="Arial"/>
                <w:lang w:eastAsia="en-GB"/>
              </w:rPr>
              <w:t xml:space="preserve"> Committee approve debtor write-off over the value of £100K.</w:t>
            </w:r>
          </w:p>
        </w:tc>
      </w:tr>
    </w:tbl>
    <w:p w14:paraId="53128261" w14:textId="77777777" w:rsidR="008276A5" w:rsidRPr="00CD2952" w:rsidRDefault="008276A5" w:rsidP="008276A5">
      <w:pPr>
        <w:spacing w:after="100" w:afterAutospacing="1" w:line="240" w:lineRule="auto"/>
        <w:rPr>
          <w:rFonts w:ascii="Arial" w:hAnsi="Arial" w:cs="Arial"/>
        </w:rPr>
      </w:pPr>
    </w:p>
    <w:tbl>
      <w:tblPr>
        <w:tblW w:w="6521" w:type="dxa"/>
        <w:tblInd w:w="-10" w:type="dxa"/>
        <w:tblLook w:val="04A0" w:firstRow="1" w:lastRow="0" w:firstColumn="1" w:lastColumn="0" w:noHBand="0" w:noVBand="1"/>
      </w:tblPr>
      <w:tblGrid>
        <w:gridCol w:w="5103"/>
        <w:gridCol w:w="1418"/>
      </w:tblGrid>
      <w:tr w:rsidR="008276A5" w:rsidRPr="00CD2952" w14:paraId="0BDEC519" w14:textId="77777777" w:rsidTr="00433A3D">
        <w:trPr>
          <w:trHeight w:val="56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ACF0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Appendix B1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8276A5" w:rsidRPr="00CD2952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color w:val="000000"/>
                <w:lang w:val="en-GB" w:eastAsia="en-GB"/>
              </w:rPr>
              <w:t> </w:t>
            </w:r>
          </w:p>
        </w:tc>
      </w:tr>
      <w:tr w:rsidR="008276A5" w:rsidRPr="00CD2952" w14:paraId="29A9CF32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CF4F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D59F" w14:textId="77777777" w:rsidR="008276A5" w:rsidRPr="00CD2952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Value </w:t>
            </w:r>
          </w:p>
        </w:tc>
      </w:tr>
      <w:tr w:rsidR="008276A5" w:rsidRPr="00CD2952" w14:paraId="567A979A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DA15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color w:val="000000"/>
                <w:lang w:eastAsia="en-GB"/>
              </w:rPr>
              <w:t xml:space="preserve">Referral to debt collection agents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DE65" w14:textId="77777777" w:rsidR="008276A5" w:rsidRPr="00CD2952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≥</w:t>
            </w:r>
            <w:r w:rsidRPr="00CD295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   50.00 </w:t>
            </w:r>
          </w:p>
        </w:tc>
      </w:tr>
      <w:tr w:rsidR="008276A5" w:rsidRPr="00CD2952" w14:paraId="17789FD8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142F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color w:val="000000"/>
                <w:lang w:eastAsia="en-GB"/>
              </w:rPr>
              <w:t>Legal action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4715" w14:textId="77777777" w:rsidR="008276A5" w:rsidRPr="00CD2952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≥</w:t>
            </w:r>
            <w:r w:rsidRPr="00CD295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 250.00 </w:t>
            </w:r>
          </w:p>
        </w:tc>
      </w:tr>
      <w:tr w:rsidR="008276A5" w:rsidRPr="00CD2952" w14:paraId="421C7DA3" w14:textId="77777777" w:rsidTr="00433A3D">
        <w:trPr>
          <w:trHeight w:val="56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FB5" w14:textId="77777777" w:rsidR="008276A5" w:rsidRPr="00CD2952" w:rsidRDefault="008276A5" w:rsidP="0043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color w:val="000000"/>
                <w:lang w:eastAsia="en-GB"/>
              </w:rPr>
              <w:t>High Court Enforcement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1DB2" w14:textId="77777777" w:rsidR="008276A5" w:rsidRPr="00CD2952" w:rsidRDefault="008276A5" w:rsidP="00433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CD2952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≥</w:t>
            </w:r>
            <w:r w:rsidRPr="00CD2952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 500.00 </w:t>
            </w:r>
          </w:p>
        </w:tc>
      </w:tr>
    </w:tbl>
    <w:p w14:paraId="62486C05" w14:textId="77777777" w:rsidR="008276A5" w:rsidRPr="00CD2952" w:rsidRDefault="008276A5" w:rsidP="00E2526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sectPr w:rsidR="008276A5" w:rsidRPr="00CD2952" w:rsidSect="00582A88">
      <w:headerReference w:type="default" r:id="rId12"/>
      <w:pgSz w:w="12240" w:h="15840"/>
      <w:pgMar w:top="851" w:right="1440" w:bottom="851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1529" w14:textId="77777777" w:rsidR="00225B17" w:rsidRDefault="00225B17" w:rsidP="009447F1">
      <w:pPr>
        <w:spacing w:after="0" w:line="240" w:lineRule="auto"/>
      </w:pPr>
      <w:r>
        <w:separator/>
      </w:r>
    </w:p>
  </w:endnote>
  <w:endnote w:type="continuationSeparator" w:id="0">
    <w:p w14:paraId="703FA7F7" w14:textId="77777777" w:rsidR="00225B17" w:rsidRDefault="00225B17" w:rsidP="009447F1">
      <w:pPr>
        <w:spacing w:after="0" w:line="240" w:lineRule="auto"/>
      </w:pPr>
      <w:r>
        <w:continuationSeparator/>
      </w:r>
    </w:p>
  </w:endnote>
  <w:endnote w:type="continuationNotice" w:id="1">
    <w:p w14:paraId="21DC3AF5" w14:textId="77777777" w:rsidR="00225B17" w:rsidRDefault="00225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2A9F" w14:textId="77777777" w:rsidR="00225B17" w:rsidRDefault="00225B17" w:rsidP="009447F1">
      <w:pPr>
        <w:spacing w:after="0" w:line="240" w:lineRule="auto"/>
      </w:pPr>
      <w:r>
        <w:separator/>
      </w:r>
    </w:p>
  </w:footnote>
  <w:footnote w:type="continuationSeparator" w:id="0">
    <w:p w14:paraId="0CB2F6DE" w14:textId="77777777" w:rsidR="00225B17" w:rsidRDefault="00225B17" w:rsidP="009447F1">
      <w:pPr>
        <w:spacing w:after="0" w:line="240" w:lineRule="auto"/>
      </w:pPr>
      <w:r>
        <w:continuationSeparator/>
      </w:r>
    </w:p>
  </w:footnote>
  <w:footnote w:type="continuationNotice" w:id="1">
    <w:p w14:paraId="6F6DFE87" w14:textId="77777777" w:rsidR="00225B17" w:rsidRDefault="00225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3C33" w14:textId="01CF91BE" w:rsidR="00291436" w:rsidRDefault="0029143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TCZZo8EHQ9y1m" id="8eIbPYnH"/>
    <int:WordHash hashCode="vfm32edxJZqOqh" id="4kbVETBe"/>
  </int:Manifest>
  <int:Observations>
    <int:Content id="8eIbPYnH">
      <int:Rejection type="AugLoop_Text_Critique"/>
    </int:Content>
    <int:Content id="4kbVETB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6A88"/>
    <w:multiLevelType w:val="hybridMultilevel"/>
    <w:tmpl w:val="4C86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813"/>
    <w:multiLevelType w:val="hybridMultilevel"/>
    <w:tmpl w:val="83D6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D1163"/>
    <w:multiLevelType w:val="hybridMultilevel"/>
    <w:tmpl w:val="4D8E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B9D"/>
    <w:multiLevelType w:val="hybridMultilevel"/>
    <w:tmpl w:val="A1DC0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13ABC"/>
    <w:multiLevelType w:val="hybridMultilevel"/>
    <w:tmpl w:val="FAAA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8EE"/>
    <w:multiLevelType w:val="hybridMultilevel"/>
    <w:tmpl w:val="37A2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178E3"/>
    <w:multiLevelType w:val="hybridMultilevel"/>
    <w:tmpl w:val="FEA4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D6"/>
    <w:rsid w:val="0001310B"/>
    <w:rsid w:val="00027445"/>
    <w:rsid w:val="00033861"/>
    <w:rsid w:val="000517CD"/>
    <w:rsid w:val="000648E4"/>
    <w:rsid w:val="001E507C"/>
    <w:rsid w:val="0022429A"/>
    <w:rsid w:val="00225B17"/>
    <w:rsid w:val="0024261D"/>
    <w:rsid w:val="00245A53"/>
    <w:rsid w:val="00253079"/>
    <w:rsid w:val="002773FC"/>
    <w:rsid w:val="00291436"/>
    <w:rsid w:val="002C226D"/>
    <w:rsid w:val="002C34B8"/>
    <w:rsid w:val="002E06FD"/>
    <w:rsid w:val="003407BE"/>
    <w:rsid w:val="003A2EDB"/>
    <w:rsid w:val="003B04BB"/>
    <w:rsid w:val="00432C5C"/>
    <w:rsid w:val="00433A3D"/>
    <w:rsid w:val="0046098B"/>
    <w:rsid w:val="004A407E"/>
    <w:rsid w:val="004C4080"/>
    <w:rsid w:val="004E1B7F"/>
    <w:rsid w:val="004F7968"/>
    <w:rsid w:val="00516397"/>
    <w:rsid w:val="005407CE"/>
    <w:rsid w:val="005437AB"/>
    <w:rsid w:val="00557A21"/>
    <w:rsid w:val="00582A88"/>
    <w:rsid w:val="005E012F"/>
    <w:rsid w:val="005F12ED"/>
    <w:rsid w:val="00619624"/>
    <w:rsid w:val="00650E1C"/>
    <w:rsid w:val="00677B49"/>
    <w:rsid w:val="006833DC"/>
    <w:rsid w:val="00687BF3"/>
    <w:rsid w:val="006A0912"/>
    <w:rsid w:val="006A3823"/>
    <w:rsid w:val="006E7601"/>
    <w:rsid w:val="00703A51"/>
    <w:rsid w:val="007759F3"/>
    <w:rsid w:val="00775F42"/>
    <w:rsid w:val="007E0EDB"/>
    <w:rsid w:val="00804A95"/>
    <w:rsid w:val="0082338C"/>
    <w:rsid w:val="008276A5"/>
    <w:rsid w:val="008370DF"/>
    <w:rsid w:val="008743F6"/>
    <w:rsid w:val="0087468A"/>
    <w:rsid w:val="0090488A"/>
    <w:rsid w:val="009447F1"/>
    <w:rsid w:val="009943F2"/>
    <w:rsid w:val="009A2D33"/>
    <w:rsid w:val="009A46E9"/>
    <w:rsid w:val="009F0B40"/>
    <w:rsid w:val="00A013E9"/>
    <w:rsid w:val="00A079C4"/>
    <w:rsid w:val="00A55523"/>
    <w:rsid w:val="00A847E4"/>
    <w:rsid w:val="00AB503F"/>
    <w:rsid w:val="00AC2A02"/>
    <w:rsid w:val="00AE3EC4"/>
    <w:rsid w:val="00B13EC5"/>
    <w:rsid w:val="00B144CE"/>
    <w:rsid w:val="00B54FCF"/>
    <w:rsid w:val="00B55302"/>
    <w:rsid w:val="00B66347"/>
    <w:rsid w:val="00B92C5D"/>
    <w:rsid w:val="00BC71A6"/>
    <w:rsid w:val="00BD7043"/>
    <w:rsid w:val="00BF03D6"/>
    <w:rsid w:val="00C10410"/>
    <w:rsid w:val="00C24D09"/>
    <w:rsid w:val="00C31066"/>
    <w:rsid w:val="00C661D7"/>
    <w:rsid w:val="00C711EF"/>
    <w:rsid w:val="00C749A8"/>
    <w:rsid w:val="00C81DE0"/>
    <w:rsid w:val="00C84500"/>
    <w:rsid w:val="00CC546F"/>
    <w:rsid w:val="00CD2952"/>
    <w:rsid w:val="00CE7C61"/>
    <w:rsid w:val="00CF3A12"/>
    <w:rsid w:val="00D0242D"/>
    <w:rsid w:val="00D4661D"/>
    <w:rsid w:val="00D46E27"/>
    <w:rsid w:val="00D742D4"/>
    <w:rsid w:val="00D87125"/>
    <w:rsid w:val="00DA624D"/>
    <w:rsid w:val="00DB35CE"/>
    <w:rsid w:val="00E15262"/>
    <w:rsid w:val="00E25265"/>
    <w:rsid w:val="00E50FEB"/>
    <w:rsid w:val="00E546FD"/>
    <w:rsid w:val="00E6407C"/>
    <w:rsid w:val="00E91E2E"/>
    <w:rsid w:val="00EB2809"/>
    <w:rsid w:val="00EE4351"/>
    <w:rsid w:val="00EF0D87"/>
    <w:rsid w:val="00F05ACD"/>
    <w:rsid w:val="00F439FB"/>
    <w:rsid w:val="00F6192D"/>
    <w:rsid w:val="00F63407"/>
    <w:rsid w:val="00F81942"/>
    <w:rsid w:val="00F90E62"/>
    <w:rsid w:val="00FB5415"/>
    <w:rsid w:val="00FC07F0"/>
    <w:rsid w:val="00FD6CB7"/>
    <w:rsid w:val="05EADDEC"/>
    <w:rsid w:val="0926C641"/>
    <w:rsid w:val="0BB065A0"/>
    <w:rsid w:val="0E1BF4FA"/>
    <w:rsid w:val="0F6A5BAE"/>
    <w:rsid w:val="1179F997"/>
    <w:rsid w:val="11D0DC6D"/>
    <w:rsid w:val="14C12032"/>
    <w:rsid w:val="15F8E623"/>
    <w:rsid w:val="18123A21"/>
    <w:rsid w:val="187E82C0"/>
    <w:rsid w:val="18F3848E"/>
    <w:rsid w:val="1922406B"/>
    <w:rsid w:val="1B60F63B"/>
    <w:rsid w:val="1BDAD81E"/>
    <w:rsid w:val="1D3810A0"/>
    <w:rsid w:val="208AF169"/>
    <w:rsid w:val="217F60C9"/>
    <w:rsid w:val="21B33844"/>
    <w:rsid w:val="23A3BD47"/>
    <w:rsid w:val="24FBFEA7"/>
    <w:rsid w:val="253F8DA8"/>
    <w:rsid w:val="264F30EE"/>
    <w:rsid w:val="26DB5E09"/>
    <w:rsid w:val="26F187CD"/>
    <w:rsid w:val="2702CCE0"/>
    <w:rsid w:val="274EFEF8"/>
    <w:rsid w:val="275381F1"/>
    <w:rsid w:val="285E6427"/>
    <w:rsid w:val="28772E6A"/>
    <w:rsid w:val="29A7BD6A"/>
    <w:rsid w:val="29B7A9E0"/>
    <w:rsid w:val="2A12FECB"/>
    <w:rsid w:val="2C5DF307"/>
    <w:rsid w:val="2CD7DF1E"/>
    <w:rsid w:val="2D4A9F8D"/>
    <w:rsid w:val="305AB4CC"/>
    <w:rsid w:val="3082404F"/>
    <w:rsid w:val="3257741D"/>
    <w:rsid w:val="33DFFCB0"/>
    <w:rsid w:val="34CF0208"/>
    <w:rsid w:val="34FD4EE6"/>
    <w:rsid w:val="356076BB"/>
    <w:rsid w:val="3792075D"/>
    <w:rsid w:val="39E3E038"/>
    <w:rsid w:val="3A6638AA"/>
    <w:rsid w:val="3CE524E4"/>
    <w:rsid w:val="3DFB7A7E"/>
    <w:rsid w:val="40A0519F"/>
    <w:rsid w:val="41DAD682"/>
    <w:rsid w:val="43363DE7"/>
    <w:rsid w:val="450A27B2"/>
    <w:rsid w:val="45B7E92D"/>
    <w:rsid w:val="484329ED"/>
    <w:rsid w:val="4A554AD1"/>
    <w:rsid w:val="4B76D160"/>
    <w:rsid w:val="4BFA663B"/>
    <w:rsid w:val="5294D9F3"/>
    <w:rsid w:val="5301457D"/>
    <w:rsid w:val="5306A570"/>
    <w:rsid w:val="53479096"/>
    <w:rsid w:val="559D1191"/>
    <w:rsid w:val="568000C6"/>
    <w:rsid w:val="575E9D09"/>
    <w:rsid w:val="5BF1A02C"/>
    <w:rsid w:val="5CD3C2A6"/>
    <w:rsid w:val="5D422BC5"/>
    <w:rsid w:val="5DCDDE8D"/>
    <w:rsid w:val="5F435C67"/>
    <w:rsid w:val="654DE9FF"/>
    <w:rsid w:val="6748185F"/>
    <w:rsid w:val="684CA29B"/>
    <w:rsid w:val="6976EBE5"/>
    <w:rsid w:val="69FF07BF"/>
    <w:rsid w:val="6CD0BE13"/>
    <w:rsid w:val="6DD7D3D4"/>
    <w:rsid w:val="6E83F069"/>
    <w:rsid w:val="72594932"/>
    <w:rsid w:val="730D9AA6"/>
    <w:rsid w:val="77544368"/>
    <w:rsid w:val="7805CAC0"/>
    <w:rsid w:val="79FAFFBF"/>
    <w:rsid w:val="7AB206AC"/>
    <w:rsid w:val="7B438998"/>
    <w:rsid w:val="7FEC9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74BE"/>
  <w15:chartTrackingRefBased/>
  <w15:docId w15:val="{A946C9CC-3A15-41C1-B1D4-7752BA7E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D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0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3D6"/>
    <w:pPr>
      <w:ind w:left="720"/>
      <w:contextualSpacing/>
    </w:pPr>
  </w:style>
  <w:style w:type="character" w:customStyle="1" w:styleId="title-job">
    <w:name w:val="title-job"/>
    <w:basedOn w:val="DefaultParagraphFont"/>
    <w:rsid w:val="00E25265"/>
  </w:style>
  <w:style w:type="paragraph" w:styleId="Title">
    <w:name w:val="Title"/>
    <w:basedOn w:val="Normal"/>
    <w:next w:val="Normal"/>
    <w:link w:val="TitleChar"/>
    <w:uiPriority w:val="10"/>
    <w:qFormat/>
    <w:rsid w:val="008276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8276A5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4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F1"/>
  </w:style>
  <w:style w:type="paragraph" w:styleId="Footer">
    <w:name w:val="footer"/>
    <w:basedOn w:val="Normal"/>
    <w:link w:val="FooterChar"/>
    <w:uiPriority w:val="99"/>
    <w:unhideWhenUsed/>
    <w:rsid w:val="00944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F1"/>
  </w:style>
  <w:style w:type="paragraph" w:styleId="BalloonText">
    <w:name w:val="Balloon Text"/>
    <w:basedOn w:val="Normal"/>
    <w:link w:val="BalloonTextChar"/>
    <w:uiPriority w:val="99"/>
    <w:semiHidden/>
    <w:unhideWhenUsed/>
    <w:rsid w:val="0067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0b1cbe1f3cb54eff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36C2BEBFD27419B5EFF3BDE711B9F" ma:contentTypeVersion="7" ma:contentTypeDescription="Create a new document." ma:contentTypeScope="" ma:versionID="5005222d31511ea7c2ad48b1fe4cc358">
  <xsd:schema xmlns:xsd="http://www.w3.org/2001/XMLSchema" xmlns:xs="http://www.w3.org/2001/XMLSchema" xmlns:p="http://schemas.microsoft.com/office/2006/metadata/properties" xmlns:ns2="6ed2eb10-5bb5-4dc3-99f5-6a7d163603f2" targetNamespace="http://schemas.microsoft.com/office/2006/metadata/properties" ma:root="true" ma:fieldsID="9390ed19c24773b194f04b8f39cf3f1e" ns2:_="">
    <xsd:import namespace="6ed2eb10-5bb5-4dc3-99f5-6a7d16360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eb10-5bb5-4dc3-99f5-6a7d1636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D8B09-007B-49B3-BD69-93644AEED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24C32-FD90-44A8-B98C-E048F834D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20E4-8623-4B1B-9A59-CDB71DFFC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9A2E8-34F3-449E-976E-FFB0BAAB4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eb10-5bb5-4dc3-99f5-6a7d16360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Emyr Fitter [ewf]</dc:creator>
  <cp:keywords/>
  <dc:description/>
  <cp:lastModifiedBy>Suzy Shipman [sfs] (Staff)</cp:lastModifiedBy>
  <cp:revision>4</cp:revision>
  <cp:lastPrinted>2018-12-10T13:04:00Z</cp:lastPrinted>
  <dcterms:created xsi:type="dcterms:W3CDTF">2022-01-20T10:27:00Z</dcterms:created>
  <dcterms:modified xsi:type="dcterms:W3CDTF">2022-03-28T10:28:00Z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0x01010079036C2BEBFD27419B5EFF3BDE711B9F</vt:lpwstr>
  </property>
</Properties>
</file>