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DA15A" w14:textId="246C0943" w:rsidR="006465A4" w:rsidRPr="0078353B" w:rsidRDefault="006465A4" w:rsidP="006465A4">
      <w:pPr>
        <w:pStyle w:val="ListParagraph"/>
        <w:numPr>
          <w:ilvl w:val="0"/>
          <w:numId w:val="2"/>
        </w:numPr>
        <w:jc w:val="both"/>
        <w:rPr>
          <w:rFonts w:asciiTheme="minorHAnsi" w:hAnsiTheme="minorHAnsi" w:cstheme="minorHAnsi"/>
        </w:rPr>
      </w:pPr>
      <w:r w:rsidRPr="0078353B">
        <w:rPr>
          <w:rFonts w:asciiTheme="minorHAnsi" w:hAnsiTheme="minorHAnsi" w:cstheme="minorHAnsi"/>
          <w:b/>
          <w:u w:val="single"/>
        </w:rPr>
        <w:t xml:space="preserve">Summary of Latest </w:t>
      </w:r>
      <w:r>
        <w:rPr>
          <w:rFonts w:asciiTheme="minorHAnsi" w:hAnsiTheme="minorHAnsi" w:cstheme="minorHAnsi"/>
          <w:b/>
          <w:u w:val="single"/>
        </w:rPr>
        <w:t>CO2</w:t>
      </w:r>
      <w:r w:rsidRPr="0078353B">
        <w:rPr>
          <w:rFonts w:asciiTheme="minorHAnsi" w:hAnsiTheme="minorHAnsi" w:cstheme="minorHAnsi"/>
          <w:b/>
          <w:u w:val="single"/>
        </w:rPr>
        <w:t xml:space="preserve"> Emissions 202</w:t>
      </w:r>
      <w:r w:rsidR="006C106B">
        <w:rPr>
          <w:rFonts w:asciiTheme="minorHAnsi" w:hAnsiTheme="minorHAnsi" w:cstheme="minorHAnsi"/>
          <w:b/>
          <w:u w:val="single"/>
        </w:rPr>
        <w:t>3</w:t>
      </w:r>
      <w:r w:rsidRPr="0078353B">
        <w:rPr>
          <w:rFonts w:asciiTheme="minorHAnsi" w:hAnsiTheme="minorHAnsi" w:cstheme="minorHAnsi"/>
          <w:b/>
          <w:u w:val="single"/>
        </w:rPr>
        <w:t>/2</w:t>
      </w:r>
      <w:r w:rsidR="006C106B">
        <w:rPr>
          <w:rFonts w:asciiTheme="minorHAnsi" w:hAnsiTheme="minorHAnsi" w:cstheme="minorHAnsi"/>
          <w:b/>
          <w:u w:val="single"/>
        </w:rPr>
        <w:t>4</w:t>
      </w:r>
      <w:r w:rsidRPr="0078353B">
        <w:rPr>
          <w:rFonts w:asciiTheme="minorHAnsi" w:hAnsiTheme="minorHAnsi" w:cstheme="minorHAnsi"/>
          <w:b/>
          <w:u w:val="single"/>
        </w:rPr>
        <w:t xml:space="preserve"> against the base year emissions from 2019/20 </w:t>
      </w:r>
    </w:p>
    <w:p w14:paraId="1263E5E5" w14:textId="77777777" w:rsidR="006465A4" w:rsidRDefault="006465A4" w:rsidP="00B76B0A">
      <w:pPr>
        <w:jc w:val="both"/>
        <w:rPr>
          <w:rFonts w:asciiTheme="minorHAnsi" w:hAnsiTheme="minorHAnsi" w:cstheme="minorHAnsi"/>
        </w:rPr>
      </w:pPr>
    </w:p>
    <w:p w14:paraId="1D7740C2" w14:textId="466C0692" w:rsidR="006465A4" w:rsidRPr="00651BF8" w:rsidRDefault="006465A4" w:rsidP="00B76B0A">
      <w:pPr>
        <w:jc w:val="both"/>
        <w:rPr>
          <w:rFonts w:asciiTheme="minorHAnsi" w:hAnsiTheme="minorHAnsi" w:cstheme="minorHAnsi"/>
          <w:sz w:val="24"/>
          <w:szCs w:val="24"/>
        </w:rPr>
      </w:pPr>
      <w:r w:rsidRPr="00651BF8">
        <w:rPr>
          <w:rFonts w:asciiTheme="minorHAnsi" w:hAnsiTheme="minorHAnsi" w:cstheme="minorHAnsi"/>
          <w:sz w:val="24"/>
          <w:szCs w:val="24"/>
        </w:rPr>
        <w:t>In 2019 the Executive Team and University Council agreed to a pledge to try to achieve carbon neutrality by 2030.  Emissions have been quantified in line with the latest version of Welsh Governments reporting guidance.</w:t>
      </w:r>
      <w:r w:rsidR="006B5076" w:rsidRPr="00651BF8">
        <w:rPr>
          <w:rFonts w:asciiTheme="minorHAnsi" w:hAnsiTheme="minorHAnsi" w:cstheme="minorHAnsi"/>
          <w:sz w:val="24"/>
          <w:szCs w:val="24"/>
        </w:rPr>
        <w:t xml:space="preserve"> The figures</w:t>
      </w:r>
      <w:r w:rsidRPr="00651BF8">
        <w:rPr>
          <w:rFonts w:asciiTheme="minorHAnsi" w:hAnsiTheme="minorHAnsi" w:cstheme="minorHAnsi"/>
          <w:sz w:val="24"/>
          <w:szCs w:val="24"/>
        </w:rPr>
        <w:t xml:space="preserve"> below summarise our latest years emissions data against our base year of 2019/20. </w:t>
      </w:r>
    </w:p>
    <w:p w14:paraId="02FC1FA8" w14:textId="77777777" w:rsidR="006465A4" w:rsidRPr="00C70876" w:rsidRDefault="006465A4" w:rsidP="00B76B0A">
      <w:pPr>
        <w:jc w:val="both"/>
        <w:rPr>
          <w:rFonts w:asciiTheme="minorHAnsi" w:hAnsiTheme="minorHAnsi" w:cstheme="minorHAnsi"/>
          <w:sz w:val="24"/>
          <w:szCs w:val="24"/>
        </w:rPr>
      </w:pPr>
    </w:p>
    <w:p w14:paraId="35D0F478" w14:textId="33B0AA93" w:rsidR="00B34276" w:rsidRPr="00C70876" w:rsidRDefault="00B34276" w:rsidP="00B76B0A">
      <w:pPr>
        <w:jc w:val="both"/>
        <w:rPr>
          <w:rFonts w:asciiTheme="minorHAnsi" w:hAnsiTheme="minorHAnsi" w:cstheme="minorHAnsi"/>
          <w:sz w:val="24"/>
          <w:szCs w:val="24"/>
        </w:rPr>
      </w:pPr>
      <w:r w:rsidRPr="00C70876">
        <w:rPr>
          <w:rFonts w:asciiTheme="minorHAnsi" w:hAnsiTheme="minorHAnsi" w:cstheme="minorHAnsi"/>
          <w:sz w:val="24"/>
          <w:szCs w:val="24"/>
        </w:rPr>
        <w:t xml:space="preserve">Following the development of our Net Zero by 2030 strategy in 2023, we have continued to </w:t>
      </w:r>
      <w:r w:rsidR="00C234A3">
        <w:rPr>
          <w:rFonts w:asciiTheme="minorHAnsi" w:hAnsiTheme="minorHAnsi" w:cstheme="minorHAnsi"/>
          <w:sz w:val="24"/>
          <w:szCs w:val="24"/>
        </w:rPr>
        <w:t>develop</w:t>
      </w:r>
      <w:r w:rsidR="00536F62" w:rsidRPr="00C70876">
        <w:rPr>
          <w:rFonts w:asciiTheme="minorHAnsi" w:hAnsiTheme="minorHAnsi" w:cstheme="minorHAnsi"/>
          <w:sz w:val="24"/>
          <w:szCs w:val="24"/>
        </w:rPr>
        <w:t xml:space="preserve"> this and have widened </w:t>
      </w:r>
      <w:r w:rsidRPr="00C70876">
        <w:rPr>
          <w:rFonts w:asciiTheme="minorHAnsi" w:hAnsiTheme="minorHAnsi" w:cstheme="minorHAnsi"/>
          <w:sz w:val="24"/>
          <w:szCs w:val="24"/>
        </w:rPr>
        <w:t xml:space="preserve">the scope of our emissions. </w:t>
      </w:r>
      <w:r w:rsidR="00536F62" w:rsidRPr="00C70876">
        <w:rPr>
          <w:rFonts w:asciiTheme="minorHAnsi" w:hAnsiTheme="minorHAnsi" w:cstheme="minorHAnsi"/>
          <w:sz w:val="24"/>
          <w:szCs w:val="24"/>
        </w:rPr>
        <w:t xml:space="preserve">Emissions from gas have reduced more than expected due to the milder winter we have had this </w:t>
      </w:r>
      <w:r w:rsidR="00C234A3">
        <w:rPr>
          <w:rFonts w:asciiTheme="minorHAnsi" w:hAnsiTheme="minorHAnsi" w:cstheme="minorHAnsi"/>
          <w:sz w:val="24"/>
          <w:szCs w:val="24"/>
        </w:rPr>
        <w:t xml:space="preserve">past </w:t>
      </w:r>
      <w:proofErr w:type="gramStart"/>
      <w:r w:rsidR="002843B9" w:rsidRPr="00C70876">
        <w:rPr>
          <w:rFonts w:asciiTheme="minorHAnsi" w:hAnsiTheme="minorHAnsi" w:cstheme="minorHAnsi"/>
          <w:sz w:val="24"/>
          <w:szCs w:val="24"/>
        </w:rPr>
        <w:t>year</w:t>
      </w:r>
      <w:r w:rsidR="004369C4">
        <w:rPr>
          <w:rFonts w:asciiTheme="minorHAnsi" w:hAnsiTheme="minorHAnsi" w:cstheme="minorHAnsi"/>
          <w:sz w:val="24"/>
          <w:szCs w:val="24"/>
        </w:rPr>
        <w:t>,</w:t>
      </w:r>
      <w:proofErr w:type="gramEnd"/>
      <w:r w:rsidR="004369C4">
        <w:rPr>
          <w:rFonts w:asciiTheme="minorHAnsi" w:hAnsiTheme="minorHAnsi" w:cstheme="minorHAnsi"/>
          <w:sz w:val="24"/>
          <w:szCs w:val="24"/>
        </w:rPr>
        <w:t xml:space="preserve"> </w:t>
      </w:r>
      <w:r w:rsidR="004369C4" w:rsidRPr="00C70876">
        <w:rPr>
          <w:rFonts w:asciiTheme="minorHAnsi" w:hAnsiTheme="minorHAnsi" w:cstheme="minorHAnsi"/>
          <w:sz w:val="24"/>
          <w:szCs w:val="24"/>
        </w:rPr>
        <w:t>however</w:t>
      </w:r>
      <w:r w:rsidR="004369C4">
        <w:rPr>
          <w:rFonts w:asciiTheme="minorHAnsi" w:hAnsiTheme="minorHAnsi" w:cstheme="minorHAnsi"/>
          <w:sz w:val="24"/>
          <w:szCs w:val="24"/>
        </w:rPr>
        <w:t xml:space="preserve"> </w:t>
      </w:r>
      <w:r w:rsidR="00536F62" w:rsidRPr="00C70876">
        <w:rPr>
          <w:rFonts w:asciiTheme="minorHAnsi" w:hAnsiTheme="minorHAnsi" w:cstheme="minorHAnsi"/>
          <w:sz w:val="24"/>
          <w:szCs w:val="24"/>
        </w:rPr>
        <w:t xml:space="preserve">we have continued to make significant efforts to reduce both our gas and electricity demand; our top 2 emissions sources. </w:t>
      </w:r>
    </w:p>
    <w:p w14:paraId="1D5726F5" w14:textId="3B23D879" w:rsidR="006465A4" w:rsidRDefault="006465A4" w:rsidP="00B76B0A">
      <w:pPr>
        <w:jc w:val="both"/>
        <w:rPr>
          <w:rFonts w:asciiTheme="minorHAnsi" w:hAnsiTheme="minorHAnsi" w:cstheme="minorHAnsi"/>
        </w:rPr>
      </w:pPr>
    </w:p>
    <w:p w14:paraId="42A72849" w14:textId="77777777" w:rsidR="006465A4" w:rsidRDefault="006465A4" w:rsidP="00170297">
      <w:pPr>
        <w:ind w:firstLine="720"/>
        <w:jc w:val="both"/>
        <w:rPr>
          <w:rFonts w:asciiTheme="minorHAnsi" w:hAnsiTheme="minorHAnsi" w:cstheme="minorHAnsi"/>
          <w:i/>
        </w:rPr>
      </w:pPr>
    </w:p>
    <w:p w14:paraId="0D1B85EC" w14:textId="79621406" w:rsidR="006465A4" w:rsidRPr="006F700E" w:rsidRDefault="006465A4" w:rsidP="00170297">
      <w:pPr>
        <w:ind w:firstLine="720"/>
        <w:jc w:val="both"/>
        <w:rPr>
          <w:rFonts w:asciiTheme="minorHAnsi" w:hAnsiTheme="minorHAnsi" w:cstheme="minorHAnsi"/>
          <w:i/>
          <w:iCs/>
        </w:rPr>
      </w:pPr>
      <w:r w:rsidRPr="006F700E">
        <w:rPr>
          <w:rFonts w:asciiTheme="minorHAnsi" w:hAnsiTheme="minorHAnsi" w:cstheme="minorHAnsi"/>
          <w:i/>
          <w:iCs/>
        </w:rPr>
        <w:t>Table 1. Summary of emissions (tCO2e) by category</w:t>
      </w:r>
    </w:p>
    <w:p w14:paraId="1AAB2238" w14:textId="77777777" w:rsidR="006F700E" w:rsidRPr="006938FF" w:rsidRDefault="006F700E" w:rsidP="00170297">
      <w:pPr>
        <w:ind w:firstLine="720"/>
        <w:jc w:val="both"/>
        <w:rPr>
          <w:rFonts w:asciiTheme="minorHAnsi" w:hAnsiTheme="minorHAnsi" w:cstheme="minorHAnsi"/>
        </w:rPr>
      </w:pPr>
    </w:p>
    <w:tbl>
      <w:tblPr>
        <w:tblStyle w:val="TableGrid"/>
        <w:tblW w:w="0" w:type="auto"/>
        <w:jc w:val="center"/>
        <w:tblLook w:val="04A0" w:firstRow="1" w:lastRow="0" w:firstColumn="1" w:lastColumn="0" w:noHBand="0" w:noVBand="1"/>
      </w:tblPr>
      <w:tblGrid>
        <w:gridCol w:w="2689"/>
        <w:gridCol w:w="1559"/>
        <w:gridCol w:w="1656"/>
        <w:gridCol w:w="2004"/>
      </w:tblGrid>
      <w:tr w:rsidR="00170297" w:rsidRPr="00393E30" w14:paraId="262018DF" w14:textId="77777777" w:rsidTr="006F700E">
        <w:trPr>
          <w:jc w:val="center"/>
        </w:trPr>
        <w:tc>
          <w:tcPr>
            <w:tcW w:w="2689" w:type="dxa"/>
            <w:shd w:val="clear" w:color="auto" w:fill="D0CECE" w:themeFill="background2" w:themeFillShade="E6"/>
          </w:tcPr>
          <w:p w14:paraId="132D49DC" w14:textId="77777777" w:rsidR="00170297" w:rsidRPr="00393E30" w:rsidRDefault="00170297">
            <w:pPr>
              <w:jc w:val="center"/>
              <w:rPr>
                <w:rFonts w:asciiTheme="minorHAnsi" w:hAnsiTheme="minorHAnsi" w:cstheme="minorHAnsi"/>
                <w:b/>
                <w:bCs/>
                <w:i/>
                <w:iCs/>
              </w:rPr>
            </w:pPr>
            <w:r w:rsidRPr="00393E30">
              <w:rPr>
                <w:rFonts w:asciiTheme="minorHAnsi" w:hAnsiTheme="minorHAnsi" w:cstheme="minorHAnsi"/>
                <w:b/>
                <w:bCs/>
                <w:i/>
                <w:iCs/>
              </w:rPr>
              <w:t>Emissions Source</w:t>
            </w:r>
          </w:p>
        </w:tc>
        <w:tc>
          <w:tcPr>
            <w:tcW w:w="1559" w:type="dxa"/>
            <w:shd w:val="clear" w:color="auto" w:fill="D0CECE" w:themeFill="background2" w:themeFillShade="E6"/>
          </w:tcPr>
          <w:p w14:paraId="4B772DED" w14:textId="77777777" w:rsidR="00170297" w:rsidRPr="00393E30" w:rsidRDefault="00170297" w:rsidP="008076EC">
            <w:pPr>
              <w:jc w:val="center"/>
              <w:rPr>
                <w:rFonts w:asciiTheme="minorHAnsi" w:hAnsiTheme="minorHAnsi" w:cstheme="minorHAnsi"/>
                <w:b/>
                <w:bCs/>
                <w:i/>
                <w:iCs/>
              </w:rPr>
            </w:pPr>
            <w:r w:rsidRPr="00393E30">
              <w:rPr>
                <w:rFonts w:asciiTheme="minorHAnsi" w:hAnsiTheme="minorHAnsi" w:cstheme="minorHAnsi"/>
                <w:b/>
                <w:bCs/>
                <w:i/>
                <w:iCs/>
              </w:rPr>
              <w:t>2019/20</w:t>
            </w:r>
          </w:p>
          <w:p w14:paraId="3629AEFF" w14:textId="77777777" w:rsidR="00170297" w:rsidRPr="00393E30" w:rsidRDefault="00170297" w:rsidP="008076EC">
            <w:pPr>
              <w:jc w:val="center"/>
              <w:rPr>
                <w:rFonts w:asciiTheme="minorHAnsi" w:hAnsiTheme="minorHAnsi" w:cstheme="minorHAnsi"/>
                <w:b/>
                <w:bCs/>
                <w:i/>
                <w:iCs/>
              </w:rPr>
            </w:pPr>
            <w:r w:rsidRPr="00393E30">
              <w:rPr>
                <w:rFonts w:asciiTheme="minorHAnsi" w:hAnsiTheme="minorHAnsi" w:cstheme="minorHAnsi"/>
                <w:b/>
                <w:bCs/>
                <w:i/>
                <w:iCs/>
              </w:rPr>
              <w:t>Base Year</w:t>
            </w:r>
          </w:p>
        </w:tc>
        <w:tc>
          <w:tcPr>
            <w:tcW w:w="1656" w:type="dxa"/>
            <w:shd w:val="clear" w:color="auto" w:fill="D0CECE" w:themeFill="background2" w:themeFillShade="E6"/>
          </w:tcPr>
          <w:p w14:paraId="782B3491" w14:textId="0A185948" w:rsidR="00170297" w:rsidRPr="00393E30" w:rsidRDefault="00170297" w:rsidP="008076EC">
            <w:pPr>
              <w:jc w:val="center"/>
              <w:rPr>
                <w:rFonts w:asciiTheme="minorHAnsi" w:hAnsiTheme="minorHAnsi" w:cstheme="minorHAnsi"/>
                <w:b/>
                <w:bCs/>
                <w:i/>
                <w:iCs/>
              </w:rPr>
            </w:pPr>
            <w:r w:rsidRPr="00393E30">
              <w:rPr>
                <w:rFonts w:asciiTheme="minorHAnsi" w:hAnsiTheme="minorHAnsi" w:cstheme="minorHAnsi"/>
                <w:b/>
                <w:bCs/>
                <w:i/>
                <w:iCs/>
              </w:rPr>
              <w:t>20</w:t>
            </w:r>
            <w:r w:rsidR="00113220">
              <w:rPr>
                <w:rFonts w:asciiTheme="minorHAnsi" w:hAnsiTheme="minorHAnsi" w:cstheme="minorHAnsi"/>
                <w:b/>
                <w:bCs/>
                <w:i/>
                <w:iCs/>
              </w:rPr>
              <w:t xml:space="preserve">23/24 </w:t>
            </w:r>
            <w:r w:rsidRPr="00393E30">
              <w:rPr>
                <w:rFonts w:asciiTheme="minorHAnsi" w:hAnsiTheme="minorHAnsi" w:cstheme="minorHAnsi"/>
                <w:b/>
                <w:bCs/>
                <w:i/>
                <w:iCs/>
              </w:rPr>
              <w:t>Current year</w:t>
            </w:r>
          </w:p>
        </w:tc>
        <w:tc>
          <w:tcPr>
            <w:tcW w:w="2004" w:type="dxa"/>
            <w:shd w:val="clear" w:color="auto" w:fill="D0CECE" w:themeFill="background2" w:themeFillShade="E6"/>
          </w:tcPr>
          <w:p w14:paraId="2C8C86E7" w14:textId="708B31E4" w:rsidR="00170297" w:rsidRPr="00393E30" w:rsidRDefault="00170297" w:rsidP="008076EC">
            <w:pPr>
              <w:jc w:val="center"/>
              <w:rPr>
                <w:rFonts w:asciiTheme="minorHAnsi" w:hAnsiTheme="minorHAnsi" w:cstheme="minorHAnsi"/>
                <w:b/>
                <w:bCs/>
                <w:i/>
                <w:iCs/>
              </w:rPr>
            </w:pPr>
            <w:r w:rsidRPr="00393E30">
              <w:rPr>
                <w:rFonts w:asciiTheme="minorHAnsi" w:hAnsiTheme="minorHAnsi" w:cstheme="minorHAnsi"/>
                <w:b/>
                <w:bCs/>
                <w:i/>
                <w:iCs/>
              </w:rPr>
              <w:t xml:space="preserve">% </w:t>
            </w:r>
            <w:r w:rsidR="00C43510">
              <w:rPr>
                <w:rFonts w:asciiTheme="minorHAnsi" w:hAnsiTheme="minorHAnsi" w:cstheme="minorHAnsi"/>
                <w:b/>
                <w:bCs/>
                <w:i/>
                <w:iCs/>
              </w:rPr>
              <w:t>Change</w:t>
            </w:r>
            <w:r>
              <w:rPr>
                <w:rFonts w:asciiTheme="minorHAnsi" w:hAnsiTheme="minorHAnsi" w:cstheme="minorHAnsi"/>
                <w:b/>
                <w:bCs/>
                <w:i/>
                <w:iCs/>
              </w:rPr>
              <w:t xml:space="preserve"> from base year</w:t>
            </w:r>
          </w:p>
        </w:tc>
      </w:tr>
      <w:tr w:rsidR="00170297" w14:paraId="0C006DB4" w14:textId="77777777" w:rsidTr="004369C4">
        <w:trPr>
          <w:trHeight w:val="298"/>
          <w:jc w:val="center"/>
        </w:trPr>
        <w:tc>
          <w:tcPr>
            <w:tcW w:w="2689" w:type="dxa"/>
            <w:shd w:val="clear" w:color="auto" w:fill="D0CECE" w:themeFill="background2" w:themeFillShade="E6"/>
          </w:tcPr>
          <w:p w14:paraId="3866EB65" w14:textId="6B57047C" w:rsidR="00170297" w:rsidRPr="008076EC" w:rsidRDefault="00170297">
            <w:pPr>
              <w:rPr>
                <w:rFonts w:asciiTheme="minorHAnsi" w:hAnsiTheme="minorHAnsi" w:cstheme="minorHAnsi"/>
                <w:i/>
                <w:iCs/>
              </w:rPr>
            </w:pPr>
            <w:r w:rsidRPr="008076EC">
              <w:rPr>
                <w:rFonts w:asciiTheme="minorHAnsi" w:hAnsiTheme="minorHAnsi" w:cstheme="minorHAnsi"/>
                <w:i/>
                <w:iCs/>
              </w:rPr>
              <w:t>Buildings – Electricity</w:t>
            </w:r>
            <w:r w:rsidR="00644138">
              <w:rPr>
                <w:rFonts w:asciiTheme="minorHAnsi" w:hAnsiTheme="minorHAnsi" w:cstheme="minorHAnsi"/>
                <w:i/>
                <w:iCs/>
              </w:rPr>
              <w:t xml:space="preserve">       </w:t>
            </w:r>
          </w:p>
        </w:tc>
        <w:tc>
          <w:tcPr>
            <w:tcW w:w="1559" w:type="dxa"/>
          </w:tcPr>
          <w:p w14:paraId="5F614700" w14:textId="07DAC20B" w:rsidR="00761D86" w:rsidRPr="004369C4" w:rsidRDefault="00644138" w:rsidP="004369C4">
            <w:pPr>
              <w:jc w:val="center"/>
              <w:rPr>
                <w:rFonts w:ascii="Aptos Narrow" w:hAnsi="Aptos Narrow"/>
                <w:color w:val="000000"/>
              </w:rPr>
            </w:pPr>
            <w:r>
              <w:rPr>
                <w:rFonts w:ascii="Aptos Narrow" w:hAnsi="Aptos Narrow"/>
                <w:color w:val="000000"/>
              </w:rPr>
              <w:t>5,327</w:t>
            </w:r>
          </w:p>
        </w:tc>
        <w:tc>
          <w:tcPr>
            <w:tcW w:w="1656" w:type="dxa"/>
          </w:tcPr>
          <w:p w14:paraId="31EDA584" w14:textId="2B85C053" w:rsidR="00761D86" w:rsidRPr="00644138" w:rsidRDefault="00644138" w:rsidP="00644138">
            <w:pPr>
              <w:jc w:val="center"/>
              <w:rPr>
                <w:rFonts w:ascii="Aptos Narrow" w:hAnsi="Aptos Narrow"/>
                <w:color w:val="000000"/>
              </w:rPr>
            </w:pPr>
            <w:r w:rsidRPr="00644138">
              <w:rPr>
                <w:rFonts w:ascii="Aptos Narrow" w:hAnsi="Aptos Narrow"/>
                <w:color w:val="000000"/>
              </w:rPr>
              <w:t>4</w:t>
            </w:r>
            <w:r w:rsidR="00536F62">
              <w:rPr>
                <w:rFonts w:ascii="Aptos Narrow" w:hAnsi="Aptos Narrow"/>
                <w:color w:val="000000"/>
              </w:rPr>
              <w:t>,</w:t>
            </w:r>
            <w:r w:rsidRPr="00644138">
              <w:rPr>
                <w:rFonts w:ascii="Aptos Narrow" w:hAnsi="Aptos Narrow"/>
                <w:color w:val="000000"/>
              </w:rPr>
              <w:t>069</w:t>
            </w:r>
          </w:p>
        </w:tc>
        <w:tc>
          <w:tcPr>
            <w:tcW w:w="2004" w:type="dxa"/>
          </w:tcPr>
          <w:p w14:paraId="04F37C9E" w14:textId="6B4A1FAF" w:rsidR="00170297" w:rsidRPr="00341FF4" w:rsidRDefault="00644138" w:rsidP="00113220">
            <w:pPr>
              <w:jc w:val="center"/>
              <w:rPr>
                <w:rFonts w:ascii="Aptos Narrow" w:hAnsi="Aptos Narrow"/>
                <w:color w:val="000000"/>
              </w:rPr>
            </w:pPr>
            <w:r w:rsidRPr="00644138">
              <w:rPr>
                <w:rFonts w:ascii="Aptos Narrow" w:hAnsi="Aptos Narrow"/>
                <w:color w:val="000000"/>
              </w:rPr>
              <w:t>-2</w:t>
            </w:r>
            <w:r w:rsidR="009E7D59">
              <w:rPr>
                <w:rFonts w:ascii="Aptos Narrow" w:hAnsi="Aptos Narrow"/>
                <w:color w:val="000000"/>
              </w:rPr>
              <w:t>4</w:t>
            </w:r>
            <w:r w:rsidRPr="00644138">
              <w:rPr>
                <w:rFonts w:ascii="Aptos Narrow" w:hAnsi="Aptos Narrow"/>
                <w:color w:val="000000"/>
              </w:rPr>
              <w:t>%</w:t>
            </w:r>
          </w:p>
        </w:tc>
      </w:tr>
      <w:tr w:rsidR="00170297" w14:paraId="465A205A" w14:textId="77777777" w:rsidTr="006F700E">
        <w:trPr>
          <w:jc w:val="center"/>
        </w:trPr>
        <w:tc>
          <w:tcPr>
            <w:tcW w:w="2689" w:type="dxa"/>
            <w:shd w:val="clear" w:color="auto" w:fill="D0CECE" w:themeFill="background2" w:themeFillShade="E6"/>
          </w:tcPr>
          <w:p w14:paraId="077D3DA1" w14:textId="77777777" w:rsidR="00170297" w:rsidRPr="008076EC" w:rsidRDefault="00170297">
            <w:pPr>
              <w:rPr>
                <w:rFonts w:asciiTheme="minorHAnsi" w:hAnsiTheme="minorHAnsi" w:cstheme="minorHAnsi"/>
                <w:i/>
                <w:iCs/>
              </w:rPr>
            </w:pPr>
            <w:r w:rsidRPr="008076EC">
              <w:rPr>
                <w:rFonts w:asciiTheme="minorHAnsi" w:hAnsiTheme="minorHAnsi" w:cstheme="minorHAnsi"/>
                <w:i/>
                <w:iCs/>
              </w:rPr>
              <w:t>Buildings – Gas</w:t>
            </w:r>
          </w:p>
        </w:tc>
        <w:tc>
          <w:tcPr>
            <w:tcW w:w="1559" w:type="dxa"/>
          </w:tcPr>
          <w:p w14:paraId="6AB1F58B" w14:textId="64D952D9" w:rsidR="00170297" w:rsidRPr="00644138" w:rsidRDefault="00644138" w:rsidP="008076EC">
            <w:pPr>
              <w:jc w:val="center"/>
              <w:rPr>
                <w:rFonts w:ascii="Aptos Narrow" w:hAnsi="Aptos Narrow"/>
                <w:color w:val="000000"/>
              </w:rPr>
            </w:pPr>
            <w:r w:rsidRPr="00644138">
              <w:rPr>
                <w:rFonts w:ascii="Aptos Narrow" w:hAnsi="Aptos Narrow"/>
                <w:color w:val="000000"/>
              </w:rPr>
              <w:t>5</w:t>
            </w:r>
            <w:r w:rsidR="00536F62">
              <w:rPr>
                <w:rFonts w:ascii="Aptos Narrow" w:hAnsi="Aptos Narrow"/>
                <w:color w:val="000000"/>
              </w:rPr>
              <w:t>,</w:t>
            </w:r>
            <w:r w:rsidRPr="00644138">
              <w:rPr>
                <w:rFonts w:ascii="Aptos Narrow" w:hAnsi="Aptos Narrow"/>
                <w:color w:val="000000"/>
              </w:rPr>
              <w:t>113</w:t>
            </w:r>
          </w:p>
        </w:tc>
        <w:tc>
          <w:tcPr>
            <w:tcW w:w="1656" w:type="dxa"/>
          </w:tcPr>
          <w:p w14:paraId="4825CE35" w14:textId="0FDC8D91" w:rsidR="00761D86" w:rsidRPr="00644138" w:rsidRDefault="00113220" w:rsidP="00644138">
            <w:pPr>
              <w:jc w:val="center"/>
              <w:rPr>
                <w:rFonts w:ascii="Aptos Narrow" w:hAnsi="Aptos Narrow"/>
                <w:color w:val="000000"/>
              </w:rPr>
            </w:pPr>
            <w:r w:rsidRPr="00644138">
              <w:rPr>
                <w:rFonts w:ascii="Aptos Narrow" w:hAnsi="Aptos Narrow"/>
                <w:color w:val="000000"/>
              </w:rPr>
              <w:t>3</w:t>
            </w:r>
            <w:r w:rsidR="00536F62">
              <w:rPr>
                <w:rFonts w:ascii="Aptos Narrow" w:hAnsi="Aptos Narrow"/>
                <w:color w:val="000000"/>
              </w:rPr>
              <w:t>,</w:t>
            </w:r>
            <w:r w:rsidR="00644138" w:rsidRPr="00644138">
              <w:rPr>
                <w:rFonts w:ascii="Aptos Narrow" w:hAnsi="Aptos Narrow"/>
                <w:color w:val="000000"/>
              </w:rPr>
              <w:t>8</w:t>
            </w:r>
            <w:r w:rsidR="004E4DBB">
              <w:rPr>
                <w:rFonts w:ascii="Aptos Narrow" w:hAnsi="Aptos Narrow"/>
                <w:color w:val="000000"/>
              </w:rPr>
              <w:t>40</w:t>
            </w:r>
          </w:p>
        </w:tc>
        <w:tc>
          <w:tcPr>
            <w:tcW w:w="2004" w:type="dxa"/>
          </w:tcPr>
          <w:p w14:paraId="6D6492A1" w14:textId="183007EC" w:rsidR="00170297" w:rsidRPr="00644138" w:rsidRDefault="00113220" w:rsidP="008076EC">
            <w:pPr>
              <w:jc w:val="center"/>
              <w:rPr>
                <w:rFonts w:ascii="Aptos Narrow" w:hAnsi="Aptos Narrow"/>
                <w:color w:val="000000"/>
              </w:rPr>
            </w:pPr>
            <w:r w:rsidRPr="00644138">
              <w:rPr>
                <w:rFonts w:ascii="Aptos Narrow" w:hAnsi="Aptos Narrow"/>
                <w:color w:val="000000"/>
              </w:rPr>
              <w:t>-</w:t>
            </w:r>
            <w:r w:rsidR="00644138" w:rsidRPr="00644138">
              <w:rPr>
                <w:rFonts w:ascii="Aptos Narrow" w:hAnsi="Aptos Narrow"/>
                <w:color w:val="000000"/>
              </w:rPr>
              <w:t>25%</w:t>
            </w:r>
          </w:p>
        </w:tc>
      </w:tr>
      <w:tr w:rsidR="00170297" w14:paraId="2AFE489D" w14:textId="77777777" w:rsidTr="006F700E">
        <w:trPr>
          <w:jc w:val="center"/>
        </w:trPr>
        <w:tc>
          <w:tcPr>
            <w:tcW w:w="2689" w:type="dxa"/>
            <w:shd w:val="clear" w:color="auto" w:fill="D0CECE" w:themeFill="background2" w:themeFillShade="E6"/>
          </w:tcPr>
          <w:p w14:paraId="0A97EBE6" w14:textId="77777777" w:rsidR="00170297" w:rsidRPr="008076EC" w:rsidRDefault="00170297">
            <w:pPr>
              <w:rPr>
                <w:rFonts w:asciiTheme="minorHAnsi" w:hAnsiTheme="minorHAnsi" w:cstheme="minorHAnsi"/>
                <w:i/>
                <w:iCs/>
              </w:rPr>
            </w:pPr>
            <w:r w:rsidRPr="008076EC">
              <w:rPr>
                <w:rFonts w:asciiTheme="minorHAnsi" w:hAnsiTheme="minorHAnsi" w:cstheme="minorHAnsi"/>
                <w:i/>
                <w:iCs/>
              </w:rPr>
              <w:t>Buildings – Other</w:t>
            </w:r>
          </w:p>
        </w:tc>
        <w:tc>
          <w:tcPr>
            <w:tcW w:w="1559" w:type="dxa"/>
          </w:tcPr>
          <w:p w14:paraId="014189CF" w14:textId="615BF32F" w:rsidR="00761D86" w:rsidRPr="00644138" w:rsidRDefault="00644138" w:rsidP="00761D86">
            <w:pPr>
              <w:jc w:val="center"/>
              <w:rPr>
                <w:rFonts w:ascii="Aptos Narrow" w:hAnsi="Aptos Narrow"/>
                <w:color w:val="000000"/>
              </w:rPr>
            </w:pPr>
            <w:r w:rsidRPr="00644138">
              <w:rPr>
                <w:rFonts w:ascii="Aptos Narrow" w:hAnsi="Aptos Narrow"/>
                <w:color w:val="000000"/>
              </w:rPr>
              <w:t>635</w:t>
            </w:r>
          </w:p>
        </w:tc>
        <w:tc>
          <w:tcPr>
            <w:tcW w:w="1656" w:type="dxa"/>
          </w:tcPr>
          <w:p w14:paraId="4A5086F7" w14:textId="186C6E1B" w:rsidR="00170297" w:rsidRPr="00644138" w:rsidRDefault="00644138" w:rsidP="00644138">
            <w:pPr>
              <w:jc w:val="center"/>
              <w:rPr>
                <w:rFonts w:ascii="Aptos Narrow" w:hAnsi="Aptos Narrow"/>
                <w:color w:val="000000"/>
              </w:rPr>
            </w:pPr>
            <w:r w:rsidRPr="00644138">
              <w:rPr>
                <w:rFonts w:ascii="Aptos Narrow" w:hAnsi="Aptos Narrow"/>
                <w:color w:val="000000"/>
              </w:rPr>
              <w:t>643</w:t>
            </w:r>
          </w:p>
        </w:tc>
        <w:tc>
          <w:tcPr>
            <w:tcW w:w="2004" w:type="dxa"/>
          </w:tcPr>
          <w:p w14:paraId="0E56977D" w14:textId="0699F450" w:rsidR="00170297" w:rsidRPr="00644138" w:rsidRDefault="00644138" w:rsidP="00644138">
            <w:pPr>
              <w:jc w:val="center"/>
              <w:rPr>
                <w:rFonts w:ascii="Aptos Narrow" w:hAnsi="Aptos Narrow"/>
                <w:color w:val="000000"/>
              </w:rPr>
            </w:pPr>
            <w:r w:rsidRPr="00644138">
              <w:rPr>
                <w:rFonts w:ascii="Aptos Narrow" w:hAnsi="Aptos Narrow"/>
                <w:color w:val="000000"/>
              </w:rPr>
              <w:t>+1%</w:t>
            </w:r>
          </w:p>
        </w:tc>
      </w:tr>
      <w:tr w:rsidR="00170297" w14:paraId="75889EBF" w14:textId="77777777" w:rsidTr="006F700E">
        <w:trPr>
          <w:jc w:val="center"/>
        </w:trPr>
        <w:tc>
          <w:tcPr>
            <w:tcW w:w="2689" w:type="dxa"/>
            <w:shd w:val="clear" w:color="auto" w:fill="D0CECE" w:themeFill="background2" w:themeFillShade="E6"/>
          </w:tcPr>
          <w:p w14:paraId="78347D55" w14:textId="77777777" w:rsidR="00170297" w:rsidRPr="008076EC" w:rsidRDefault="00170297">
            <w:pPr>
              <w:rPr>
                <w:rFonts w:asciiTheme="minorHAnsi" w:hAnsiTheme="minorHAnsi" w:cstheme="minorHAnsi"/>
                <w:i/>
                <w:iCs/>
              </w:rPr>
            </w:pPr>
            <w:r w:rsidRPr="008076EC">
              <w:rPr>
                <w:rFonts w:asciiTheme="minorHAnsi" w:hAnsiTheme="minorHAnsi" w:cstheme="minorHAnsi"/>
                <w:i/>
                <w:iCs/>
              </w:rPr>
              <w:t>Business Travel</w:t>
            </w:r>
          </w:p>
        </w:tc>
        <w:tc>
          <w:tcPr>
            <w:tcW w:w="1559" w:type="dxa"/>
            <w:vAlign w:val="bottom"/>
          </w:tcPr>
          <w:p w14:paraId="10B91EF7" w14:textId="4AEB4B6E" w:rsidR="00170297" w:rsidRPr="00644138" w:rsidRDefault="00644138" w:rsidP="008076EC">
            <w:pPr>
              <w:jc w:val="center"/>
              <w:rPr>
                <w:rFonts w:ascii="Aptos Narrow" w:hAnsi="Aptos Narrow"/>
                <w:color w:val="000000"/>
              </w:rPr>
            </w:pPr>
            <w:r w:rsidRPr="00644138">
              <w:rPr>
                <w:rFonts w:ascii="Aptos Narrow" w:hAnsi="Aptos Narrow"/>
                <w:color w:val="000000"/>
              </w:rPr>
              <w:t>3</w:t>
            </w:r>
            <w:r w:rsidR="00536F62">
              <w:rPr>
                <w:rFonts w:ascii="Aptos Narrow" w:hAnsi="Aptos Narrow"/>
                <w:color w:val="000000"/>
              </w:rPr>
              <w:t>,</w:t>
            </w:r>
            <w:r w:rsidRPr="00644138">
              <w:rPr>
                <w:rFonts w:ascii="Aptos Narrow" w:hAnsi="Aptos Narrow"/>
                <w:color w:val="000000"/>
              </w:rPr>
              <w:t>531</w:t>
            </w:r>
          </w:p>
        </w:tc>
        <w:tc>
          <w:tcPr>
            <w:tcW w:w="1656" w:type="dxa"/>
            <w:vAlign w:val="bottom"/>
          </w:tcPr>
          <w:p w14:paraId="28E5B197" w14:textId="6A074DDE" w:rsidR="00761D86" w:rsidRPr="00644138" w:rsidRDefault="00644138" w:rsidP="00644138">
            <w:pPr>
              <w:jc w:val="center"/>
              <w:rPr>
                <w:rFonts w:ascii="Aptos Narrow" w:hAnsi="Aptos Narrow"/>
                <w:color w:val="000000"/>
              </w:rPr>
            </w:pPr>
            <w:r w:rsidRPr="00644138">
              <w:rPr>
                <w:rFonts w:ascii="Aptos Narrow" w:hAnsi="Aptos Narrow"/>
                <w:color w:val="000000"/>
              </w:rPr>
              <w:t>832</w:t>
            </w:r>
          </w:p>
        </w:tc>
        <w:tc>
          <w:tcPr>
            <w:tcW w:w="2004" w:type="dxa"/>
          </w:tcPr>
          <w:p w14:paraId="0EDAA8C1" w14:textId="1289F88F" w:rsidR="00170297" w:rsidRPr="00644138" w:rsidRDefault="00644138" w:rsidP="3821101D">
            <w:pPr>
              <w:jc w:val="center"/>
              <w:rPr>
                <w:rFonts w:ascii="Aptos Narrow" w:hAnsi="Aptos Narrow"/>
                <w:color w:val="000000"/>
              </w:rPr>
            </w:pPr>
            <w:r w:rsidRPr="00644138">
              <w:rPr>
                <w:rFonts w:ascii="Aptos Narrow" w:hAnsi="Aptos Narrow"/>
                <w:color w:val="000000"/>
              </w:rPr>
              <w:t>-7</w:t>
            </w:r>
            <w:r w:rsidR="009E7D59">
              <w:rPr>
                <w:rFonts w:ascii="Aptos Narrow" w:hAnsi="Aptos Narrow"/>
                <w:color w:val="000000"/>
              </w:rPr>
              <w:t>6</w:t>
            </w:r>
            <w:r w:rsidRPr="00644138">
              <w:rPr>
                <w:rFonts w:ascii="Aptos Narrow" w:hAnsi="Aptos Narrow"/>
                <w:color w:val="000000"/>
              </w:rPr>
              <w:t>%</w:t>
            </w:r>
          </w:p>
        </w:tc>
      </w:tr>
      <w:tr w:rsidR="00170297" w14:paraId="687128D6" w14:textId="77777777" w:rsidTr="006F700E">
        <w:trPr>
          <w:jc w:val="center"/>
        </w:trPr>
        <w:tc>
          <w:tcPr>
            <w:tcW w:w="2689" w:type="dxa"/>
            <w:shd w:val="clear" w:color="auto" w:fill="D0CECE" w:themeFill="background2" w:themeFillShade="E6"/>
          </w:tcPr>
          <w:p w14:paraId="153EECCA" w14:textId="77777777" w:rsidR="00170297" w:rsidRPr="008076EC" w:rsidRDefault="00170297">
            <w:pPr>
              <w:rPr>
                <w:rFonts w:asciiTheme="minorHAnsi" w:hAnsiTheme="minorHAnsi" w:cstheme="minorHAnsi"/>
                <w:i/>
                <w:iCs/>
              </w:rPr>
            </w:pPr>
            <w:r w:rsidRPr="008076EC">
              <w:rPr>
                <w:rFonts w:asciiTheme="minorHAnsi" w:hAnsiTheme="minorHAnsi" w:cstheme="minorHAnsi"/>
                <w:i/>
                <w:iCs/>
              </w:rPr>
              <w:t xml:space="preserve">Staff Commuting </w:t>
            </w:r>
          </w:p>
        </w:tc>
        <w:tc>
          <w:tcPr>
            <w:tcW w:w="1559" w:type="dxa"/>
            <w:vAlign w:val="bottom"/>
          </w:tcPr>
          <w:p w14:paraId="2A0ECE56" w14:textId="3FB9A848" w:rsidR="00170297" w:rsidRPr="00644138" w:rsidRDefault="00644138" w:rsidP="008076EC">
            <w:pPr>
              <w:jc w:val="center"/>
              <w:rPr>
                <w:rFonts w:ascii="Aptos Narrow" w:hAnsi="Aptos Narrow"/>
                <w:color w:val="000000"/>
              </w:rPr>
            </w:pPr>
            <w:r w:rsidRPr="00644138">
              <w:rPr>
                <w:rFonts w:ascii="Aptos Narrow" w:hAnsi="Aptos Narrow"/>
                <w:color w:val="000000"/>
              </w:rPr>
              <w:t>2</w:t>
            </w:r>
            <w:r w:rsidR="00536F62">
              <w:rPr>
                <w:rFonts w:ascii="Aptos Narrow" w:hAnsi="Aptos Narrow"/>
                <w:color w:val="000000"/>
              </w:rPr>
              <w:t>,</w:t>
            </w:r>
            <w:r w:rsidRPr="00644138">
              <w:rPr>
                <w:rFonts w:ascii="Aptos Narrow" w:hAnsi="Aptos Narrow"/>
                <w:color w:val="000000"/>
              </w:rPr>
              <w:t>505</w:t>
            </w:r>
          </w:p>
        </w:tc>
        <w:tc>
          <w:tcPr>
            <w:tcW w:w="1656" w:type="dxa"/>
            <w:vAlign w:val="bottom"/>
          </w:tcPr>
          <w:p w14:paraId="150E81A0" w14:textId="4F5E7A90" w:rsidR="00170297" w:rsidRPr="00644138" w:rsidRDefault="00644138" w:rsidP="00644138">
            <w:pPr>
              <w:jc w:val="center"/>
              <w:rPr>
                <w:rFonts w:ascii="Aptos Narrow" w:hAnsi="Aptos Narrow"/>
                <w:color w:val="000000"/>
              </w:rPr>
            </w:pPr>
            <w:r w:rsidRPr="00644138">
              <w:rPr>
                <w:rFonts w:ascii="Aptos Narrow" w:hAnsi="Aptos Narrow"/>
                <w:color w:val="000000"/>
              </w:rPr>
              <w:t>971</w:t>
            </w:r>
          </w:p>
        </w:tc>
        <w:tc>
          <w:tcPr>
            <w:tcW w:w="2004" w:type="dxa"/>
          </w:tcPr>
          <w:p w14:paraId="688F9C6E" w14:textId="3FC49DCA" w:rsidR="00170297" w:rsidRPr="00341FF4" w:rsidRDefault="00113220" w:rsidP="00347B37">
            <w:pPr>
              <w:jc w:val="center"/>
              <w:rPr>
                <w:rFonts w:ascii="Aptos Narrow" w:hAnsi="Aptos Narrow"/>
                <w:color w:val="000000"/>
              </w:rPr>
            </w:pPr>
            <w:r w:rsidRPr="00644138">
              <w:rPr>
                <w:rFonts w:ascii="Aptos Narrow" w:hAnsi="Aptos Narrow"/>
                <w:color w:val="000000"/>
              </w:rPr>
              <w:t>-</w:t>
            </w:r>
            <w:r w:rsidR="00761D86" w:rsidRPr="00644138">
              <w:rPr>
                <w:rFonts w:ascii="Aptos Narrow" w:hAnsi="Aptos Narrow"/>
                <w:color w:val="000000"/>
              </w:rPr>
              <w:t>6</w:t>
            </w:r>
            <w:r w:rsidR="00644138" w:rsidRPr="00644138">
              <w:rPr>
                <w:rFonts w:ascii="Aptos Narrow" w:hAnsi="Aptos Narrow"/>
                <w:color w:val="000000"/>
              </w:rPr>
              <w:t>1%</w:t>
            </w:r>
          </w:p>
        </w:tc>
      </w:tr>
      <w:tr w:rsidR="00170297" w14:paraId="29C1560C" w14:textId="77777777" w:rsidTr="006F700E">
        <w:trPr>
          <w:jc w:val="center"/>
        </w:trPr>
        <w:tc>
          <w:tcPr>
            <w:tcW w:w="2689" w:type="dxa"/>
            <w:shd w:val="clear" w:color="auto" w:fill="D0CECE" w:themeFill="background2" w:themeFillShade="E6"/>
          </w:tcPr>
          <w:p w14:paraId="583883C4" w14:textId="77777777" w:rsidR="00170297" w:rsidRPr="008076EC" w:rsidRDefault="00170297">
            <w:pPr>
              <w:rPr>
                <w:rFonts w:asciiTheme="minorHAnsi" w:hAnsiTheme="minorHAnsi" w:cstheme="minorHAnsi"/>
                <w:i/>
                <w:iCs/>
              </w:rPr>
            </w:pPr>
            <w:r w:rsidRPr="008076EC">
              <w:rPr>
                <w:rFonts w:asciiTheme="minorHAnsi" w:hAnsiTheme="minorHAnsi" w:cstheme="minorHAnsi"/>
                <w:i/>
                <w:iCs/>
              </w:rPr>
              <w:t xml:space="preserve">Agricultural Emissions </w:t>
            </w:r>
          </w:p>
        </w:tc>
        <w:tc>
          <w:tcPr>
            <w:tcW w:w="1559" w:type="dxa"/>
          </w:tcPr>
          <w:p w14:paraId="0B23D0DF" w14:textId="6321B5B0" w:rsidR="00170297" w:rsidRPr="00644138" w:rsidRDefault="00644138" w:rsidP="008076EC">
            <w:pPr>
              <w:jc w:val="center"/>
              <w:rPr>
                <w:rFonts w:ascii="Aptos Narrow" w:hAnsi="Aptos Narrow"/>
                <w:color w:val="000000"/>
              </w:rPr>
            </w:pPr>
            <w:r w:rsidRPr="00644138">
              <w:rPr>
                <w:rFonts w:ascii="Aptos Narrow" w:hAnsi="Aptos Narrow"/>
                <w:color w:val="000000"/>
              </w:rPr>
              <w:t>2</w:t>
            </w:r>
            <w:r w:rsidR="00B34276">
              <w:rPr>
                <w:rFonts w:ascii="Aptos Narrow" w:hAnsi="Aptos Narrow"/>
                <w:color w:val="000000"/>
              </w:rPr>
              <w:t>,</w:t>
            </w:r>
            <w:r w:rsidRPr="00644138">
              <w:rPr>
                <w:rFonts w:ascii="Aptos Narrow" w:hAnsi="Aptos Narrow"/>
                <w:color w:val="000000"/>
              </w:rPr>
              <w:t>076</w:t>
            </w:r>
          </w:p>
        </w:tc>
        <w:tc>
          <w:tcPr>
            <w:tcW w:w="1656" w:type="dxa"/>
          </w:tcPr>
          <w:p w14:paraId="7810A63E" w14:textId="39CCE843" w:rsidR="00170297" w:rsidRPr="00644138" w:rsidRDefault="00162FCD" w:rsidP="00644138">
            <w:pPr>
              <w:jc w:val="center"/>
              <w:rPr>
                <w:rFonts w:ascii="Aptos Narrow" w:hAnsi="Aptos Narrow"/>
                <w:color w:val="000000"/>
              </w:rPr>
            </w:pPr>
            <w:r>
              <w:rPr>
                <w:rFonts w:ascii="Aptos Narrow" w:hAnsi="Aptos Narrow"/>
                <w:color w:val="000000"/>
              </w:rPr>
              <w:t>1,556</w:t>
            </w:r>
          </w:p>
        </w:tc>
        <w:tc>
          <w:tcPr>
            <w:tcW w:w="2004" w:type="dxa"/>
          </w:tcPr>
          <w:p w14:paraId="31C6914F" w14:textId="14160617" w:rsidR="00170297" w:rsidRPr="00644138" w:rsidRDefault="00162FCD" w:rsidP="008076EC">
            <w:pPr>
              <w:jc w:val="center"/>
              <w:rPr>
                <w:rFonts w:ascii="Aptos Narrow" w:hAnsi="Aptos Narrow"/>
                <w:color w:val="000000"/>
              </w:rPr>
            </w:pPr>
            <w:r>
              <w:rPr>
                <w:rFonts w:ascii="Aptos Narrow" w:hAnsi="Aptos Narrow"/>
                <w:color w:val="000000"/>
              </w:rPr>
              <w:t>-</w:t>
            </w:r>
            <w:r w:rsidR="009E7D59">
              <w:rPr>
                <w:rFonts w:ascii="Aptos Narrow" w:hAnsi="Aptos Narrow"/>
                <w:color w:val="000000"/>
              </w:rPr>
              <w:t>37</w:t>
            </w:r>
            <w:r>
              <w:rPr>
                <w:rFonts w:ascii="Aptos Narrow" w:hAnsi="Aptos Narrow"/>
                <w:color w:val="000000"/>
              </w:rPr>
              <w:t>%</w:t>
            </w:r>
          </w:p>
        </w:tc>
      </w:tr>
      <w:tr w:rsidR="00761D86" w14:paraId="5E7FADB0" w14:textId="77777777" w:rsidTr="006F700E">
        <w:trPr>
          <w:jc w:val="center"/>
        </w:trPr>
        <w:tc>
          <w:tcPr>
            <w:tcW w:w="2689" w:type="dxa"/>
            <w:shd w:val="clear" w:color="auto" w:fill="D0CECE" w:themeFill="background2" w:themeFillShade="E6"/>
          </w:tcPr>
          <w:p w14:paraId="042F0E92" w14:textId="2CEBDDC8" w:rsidR="00761D86" w:rsidRPr="008076EC" w:rsidRDefault="00761D86">
            <w:pPr>
              <w:rPr>
                <w:rFonts w:asciiTheme="minorHAnsi" w:hAnsiTheme="minorHAnsi" w:cstheme="minorHAnsi"/>
                <w:i/>
                <w:iCs/>
              </w:rPr>
            </w:pPr>
            <w:r>
              <w:rPr>
                <w:rFonts w:asciiTheme="minorHAnsi" w:hAnsiTheme="minorHAnsi" w:cstheme="minorHAnsi"/>
                <w:i/>
                <w:iCs/>
              </w:rPr>
              <w:t>Waste</w:t>
            </w:r>
          </w:p>
        </w:tc>
        <w:tc>
          <w:tcPr>
            <w:tcW w:w="1559" w:type="dxa"/>
          </w:tcPr>
          <w:p w14:paraId="1C4E97DC" w14:textId="5385BC33" w:rsidR="00761D86" w:rsidRPr="00644138" w:rsidRDefault="00761D86" w:rsidP="00761D86">
            <w:pPr>
              <w:jc w:val="center"/>
              <w:rPr>
                <w:rFonts w:ascii="Aptos Narrow" w:hAnsi="Aptos Narrow"/>
                <w:color w:val="000000"/>
              </w:rPr>
            </w:pPr>
            <w:r w:rsidRPr="00644138">
              <w:rPr>
                <w:rFonts w:ascii="Aptos Narrow" w:hAnsi="Aptos Narrow"/>
                <w:color w:val="000000"/>
              </w:rPr>
              <w:t>9</w:t>
            </w:r>
          </w:p>
        </w:tc>
        <w:tc>
          <w:tcPr>
            <w:tcW w:w="1656" w:type="dxa"/>
          </w:tcPr>
          <w:p w14:paraId="0E249BD5" w14:textId="6F0A204C" w:rsidR="00761D86" w:rsidRPr="00644138" w:rsidRDefault="00761D86" w:rsidP="00644138">
            <w:pPr>
              <w:jc w:val="center"/>
              <w:rPr>
                <w:rFonts w:ascii="Aptos Narrow" w:hAnsi="Aptos Narrow"/>
                <w:color w:val="000000"/>
              </w:rPr>
            </w:pPr>
            <w:r w:rsidRPr="00644138">
              <w:rPr>
                <w:rFonts w:ascii="Aptos Narrow" w:hAnsi="Aptos Narrow"/>
                <w:color w:val="000000"/>
              </w:rPr>
              <w:t>1</w:t>
            </w:r>
            <w:r w:rsidR="007647F3">
              <w:rPr>
                <w:rFonts w:ascii="Aptos Narrow" w:hAnsi="Aptos Narrow"/>
                <w:color w:val="000000"/>
              </w:rPr>
              <w:t>5</w:t>
            </w:r>
          </w:p>
        </w:tc>
        <w:tc>
          <w:tcPr>
            <w:tcW w:w="2004" w:type="dxa"/>
          </w:tcPr>
          <w:p w14:paraId="2D7AE3BE" w14:textId="606ED1EB" w:rsidR="00761D86" w:rsidRPr="00644138" w:rsidRDefault="00761D86" w:rsidP="00761D86">
            <w:pPr>
              <w:jc w:val="center"/>
              <w:rPr>
                <w:rFonts w:ascii="Aptos Narrow" w:hAnsi="Aptos Narrow"/>
                <w:color w:val="000000"/>
              </w:rPr>
            </w:pPr>
            <w:r w:rsidRPr="00644138">
              <w:rPr>
                <w:rFonts w:ascii="Aptos Narrow" w:hAnsi="Aptos Narrow"/>
                <w:color w:val="000000"/>
              </w:rPr>
              <w:t>+5</w:t>
            </w:r>
            <w:r w:rsidR="002843B9">
              <w:rPr>
                <w:rFonts w:ascii="Aptos Narrow" w:hAnsi="Aptos Narrow"/>
                <w:color w:val="000000"/>
              </w:rPr>
              <w:t>4</w:t>
            </w:r>
            <w:r w:rsidRPr="00644138">
              <w:rPr>
                <w:rFonts w:ascii="Aptos Narrow" w:hAnsi="Aptos Narrow"/>
                <w:color w:val="000000"/>
              </w:rPr>
              <w:t>%</w:t>
            </w:r>
          </w:p>
        </w:tc>
      </w:tr>
      <w:tr w:rsidR="008076EC" w14:paraId="79D91B0A" w14:textId="77777777" w:rsidTr="006F700E">
        <w:trPr>
          <w:jc w:val="center"/>
        </w:trPr>
        <w:tc>
          <w:tcPr>
            <w:tcW w:w="2689" w:type="dxa"/>
            <w:shd w:val="clear" w:color="auto" w:fill="D0CECE" w:themeFill="background2" w:themeFillShade="E6"/>
          </w:tcPr>
          <w:p w14:paraId="4C6C9588" w14:textId="3BC24548" w:rsidR="008076EC" w:rsidRPr="008076EC" w:rsidRDefault="008076EC">
            <w:pPr>
              <w:rPr>
                <w:rFonts w:asciiTheme="minorHAnsi" w:hAnsiTheme="minorHAnsi" w:cstheme="minorHAnsi"/>
                <w:b/>
                <w:bCs/>
                <w:i/>
                <w:iCs/>
              </w:rPr>
            </w:pPr>
            <w:r w:rsidRPr="008076EC">
              <w:rPr>
                <w:rFonts w:asciiTheme="minorHAnsi" w:hAnsiTheme="minorHAnsi" w:cstheme="minorHAnsi"/>
                <w:b/>
                <w:bCs/>
                <w:i/>
                <w:iCs/>
              </w:rPr>
              <w:t>Total Gross Emissions</w:t>
            </w:r>
          </w:p>
        </w:tc>
        <w:tc>
          <w:tcPr>
            <w:tcW w:w="1559" w:type="dxa"/>
            <w:shd w:val="clear" w:color="auto" w:fill="D0CECE" w:themeFill="background2" w:themeFillShade="E6"/>
          </w:tcPr>
          <w:p w14:paraId="7CB16010" w14:textId="115F92D5" w:rsidR="008076EC" w:rsidRPr="00644138" w:rsidRDefault="00644138" w:rsidP="008076EC">
            <w:pPr>
              <w:jc w:val="center"/>
              <w:rPr>
                <w:rFonts w:ascii="Aptos Narrow" w:hAnsi="Aptos Narrow"/>
                <w:color w:val="000000"/>
              </w:rPr>
            </w:pPr>
            <w:r w:rsidRPr="00644138">
              <w:rPr>
                <w:rFonts w:ascii="Aptos Narrow" w:hAnsi="Aptos Narrow"/>
                <w:color w:val="000000"/>
              </w:rPr>
              <w:t>19,227</w:t>
            </w:r>
          </w:p>
        </w:tc>
        <w:tc>
          <w:tcPr>
            <w:tcW w:w="1656" w:type="dxa"/>
            <w:shd w:val="clear" w:color="auto" w:fill="D0CECE" w:themeFill="background2" w:themeFillShade="E6"/>
          </w:tcPr>
          <w:p w14:paraId="3BBF47F7" w14:textId="5828753F" w:rsidR="008076EC" w:rsidRPr="00644138" w:rsidRDefault="00162FCD" w:rsidP="00644138">
            <w:pPr>
              <w:jc w:val="center"/>
              <w:rPr>
                <w:rFonts w:ascii="Aptos Narrow" w:hAnsi="Aptos Narrow"/>
                <w:color w:val="000000"/>
              </w:rPr>
            </w:pPr>
            <w:r>
              <w:rPr>
                <w:rFonts w:ascii="Aptos Narrow" w:hAnsi="Aptos Narrow"/>
                <w:color w:val="000000"/>
              </w:rPr>
              <w:t>1</w:t>
            </w:r>
            <w:r w:rsidR="002D5F46">
              <w:rPr>
                <w:rFonts w:ascii="Aptos Narrow" w:hAnsi="Aptos Narrow"/>
                <w:color w:val="000000"/>
              </w:rPr>
              <w:t>1,871</w:t>
            </w:r>
          </w:p>
        </w:tc>
        <w:tc>
          <w:tcPr>
            <w:tcW w:w="2004" w:type="dxa"/>
            <w:shd w:val="clear" w:color="auto" w:fill="D0CECE" w:themeFill="background2" w:themeFillShade="E6"/>
          </w:tcPr>
          <w:p w14:paraId="343895D7" w14:textId="3F62F916" w:rsidR="008076EC" w:rsidRPr="00644138" w:rsidRDefault="00113220" w:rsidP="3821101D">
            <w:pPr>
              <w:jc w:val="center"/>
              <w:rPr>
                <w:rFonts w:ascii="Aptos Narrow" w:hAnsi="Aptos Narrow"/>
                <w:color w:val="000000"/>
              </w:rPr>
            </w:pPr>
            <w:r w:rsidRPr="00644138">
              <w:rPr>
                <w:rFonts w:ascii="Aptos Narrow" w:hAnsi="Aptos Narrow"/>
                <w:color w:val="000000"/>
              </w:rPr>
              <w:t>-</w:t>
            </w:r>
            <w:r w:rsidR="00162FCD">
              <w:rPr>
                <w:rFonts w:ascii="Aptos Narrow" w:hAnsi="Aptos Narrow"/>
                <w:color w:val="000000"/>
              </w:rPr>
              <w:t>3</w:t>
            </w:r>
            <w:r w:rsidR="009E7D59">
              <w:rPr>
                <w:rFonts w:ascii="Aptos Narrow" w:hAnsi="Aptos Narrow"/>
                <w:color w:val="000000"/>
              </w:rPr>
              <w:t>8</w:t>
            </w:r>
            <w:r w:rsidR="00162FCD">
              <w:rPr>
                <w:rFonts w:ascii="Aptos Narrow" w:hAnsi="Aptos Narrow"/>
                <w:color w:val="000000"/>
              </w:rPr>
              <w:t>%</w:t>
            </w:r>
          </w:p>
        </w:tc>
      </w:tr>
      <w:tr w:rsidR="00170297" w14:paraId="4A312D02" w14:textId="77777777" w:rsidTr="00113220">
        <w:trPr>
          <w:trHeight w:val="363"/>
          <w:jc w:val="center"/>
        </w:trPr>
        <w:tc>
          <w:tcPr>
            <w:tcW w:w="2689" w:type="dxa"/>
            <w:shd w:val="clear" w:color="auto" w:fill="D0CECE" w:themeFill="background2" w:themeFillShade="E6"/>
          </w:tcPr>
          <w:p w14:paraId="790ED5BC" w14:textId="77777777" w:rsidR="00170297" w:rsidRPr="008076EC" w:rsidRDefault="00170297" w:rsidP="3821101D">
            <w:pPr>
              <w:rPr>
                <w:rFonts w:asciiTheme="minorHAnsi" w:hAnsiTheme="minorHAnsi"/>
                <w:i/>
                <w:iCs/>
              </w:rPr>
            </w:pPr>
            <w:r w:rsidRPr="3821101D">
              <w:rPr>
                <w:rFonts w:asciiTheme="minorHAnsi" w:hAnsiTheme="minorHAnsi"/>
                <w:i/>
                <w:iCs/>
              </w:rPr>
              <w:t xml:space="preserve">Sequestration by </w:t>
            </w:r>
            <w:bookmarkStart w:id="0" w:name="_Int_Pmn5xfAR"/>
            <w:r w:rsidRPr="3821101D">
              <w:rPr>
                <w:rFonts w:asciiTheme="minorHAnsi" w:hAnsiTheme="minorHAnsi"/>
                <w:i/>
                <w:iCs/>
              </w:rPr>
              <w:t>AU</w:t>
            </w:r>
            <w:bookmarkEnd w:id="0"/>
            <w:r w:rsidRPr="3821101D">
              <w:rPr>
                <w:rFonts w:asciiTheme="minorHAnsi" w:hAnsiTheme="minorHAnsi"/>
                <w:i/>
                <w:iCs/>
              </w:rPr>
              <w:t xml:space="preserve"> land</w:t>
            </w:r>
          </w:p>
        </w:tc>
        <w:tc>
          <w:tcPr>
            <w:tcW w:w="1559" w:type="dxa"/>
          </w:tcPr>
          <w:p w14:paraId="492A8329" w14:textId="5079AC85" w:rsidR="00170297" w:rsidRPr="00644138" w:rsidRDefault="00644138" w:rsidP="008076EC">
            <w:pPr>
              <w:jc w:val="center"/>
              <w:rPr>
                <w:rFonts w:ascii="Aptos Narrow" w:hAnsi="Aptos Narrow"/>
                <w:color w:val="000000"/>
              </w:rPr>
            </w:pPr>
            <w:r w:rsidRPr="00644138">
              <w:rPr>
                <w:rFonts w:ascii="Aptos Narrow" w:hAnsi="Aptos Narrow"/>
                <w:color w:val="000000"/>
              </w:rPr>
              <w:t>-2</w:t>
            </w:r>
            <w:r w:rsidR="00536F62">
              <w:rPr>
                <w:rFonts w:ascii="Aptos Narrow" w:hAnsi="Aptos Narrow"/>
                <w:color w:val="000000"/>
              </w:rPr>
              <w:t>,</w:t>
            </w:r>
            <w:r w:rsidRPr="00644138">
              <w:rPr>
                <w:rFonts w:ascii="Aptos Narrow" w:hAnsi="Aptos Narrow"/>
                <w:color w:val="000000"/>
              </w:rPr>
              <w:t>797</w:t>
            </w:r>
          </w:p>
        </w:tc>
        <w:tc>
          <w:tcPr>
            <w:tcW w:w="1656" w:type="dxa"/>
          </w:tcPr>
          <w:p w14:paraId="7EF68B17" w14:textId="16678DAD" w:rsidR="00170297" w:rsidRPr="00644138" w:rsidRDefault="00162FCD" w:rsidP="00644138">
            <w:pPr>
              <w:jc w:val="center"/>
              <w:rPr>
                <w:rFonts w:ascii="Aptos Narrow" w:hAnsi="Aptos Narrow"/>
                <w:color w:val="000000"/>
              </w:rPr>
            </w:pPr>
            <w:r>
              <w:rPr>
                <w:rFonts w:ascii="Aptos Narrow" w:hAnsi="Aptos Narrow"/>
                <w:color w:val="000000"/>
              </w:rPr>
              <w:t>-2,528</w:t>
            </w:r>
          </w:p>
        </w:tc>
        <w:tc>
          <w:tcPr>
            <w:tcW w:w="2004" w:type="dxa"/>
          </w:tcPr>
          <w:p w14:paraId="5342F155" w14:textId="78707FA3" w:rsidR="00170297" w:rsidRPr="00644138" w:rsidRDefault="00162FCD" w:rsidP="00113220">
            <w:pPr>
              <w:jc w:val="center"/>
              <w:rPr>
                <w:rFonts w:ascii="Aptos Narrow" w:hAnsi="Aptos Narrow"/>
                <w:color w:val="000000"/>
              </w:rPr>
            </w:pPr>
            <w:r>
              <w:rPr>
                <w:rFonts w:ascii="Aptos Narrow" w:hAnsi="Aptos Narrow"/>
                <w:color w:val="000000"/>
              </w:rPr>
              <w:t>-10%</w:t>
            </w:r>
          </w:p>
        </w:tc>
      </w:tr>
      <w:tr w:rsidR="00170297" w14:paraId="33AD8EC0" w14:textId="77777777" w:rsidTr="006F700E">
        <w:trPr>
          <w:trHeight w:val="343"/>
          <w:jc w:val="center"/>
        </w:trPr>
        <w:tc>
          <w:tcPr>
            <w:tcW w:w="2689" w:type="dxa"/>
            <w:shd w:val="clear" w:color="auto" w:fill="D0CECE" w:themeFill="background2" w:themeFillShade="E6"/>
          </w:tcPr>
          <w:p w14:paraId="5B988B7A" w14:textId="4BAEE91D" w:rsidR="00170297" w:rsidRPr="00393E30" w:rsidRDefault="00170297">
            <w:pPr>
              <w:rPr>
                <w:rFonts w:asciiTheme="minorHAnsi" w:hAnsiTheme="minorHAnsi" w:cstheme="minorHAnsi"/>
                <w:b/>
                <w:bCs/>
                <w:i/>
                <w:iCs/>
              </w:rPr>
            </w:pPr>
            <w:r>
              <w:rPr>
                <w:rFonts w:asciiTheme="minorHAnsi" w:hAnsiTheme="minorHAnsi" w:cstheme="minorHAnsi"/>
                <w:b/>
                <w:bCs/>
                <w:i/>
                <w:iCs/>
              </w:rPr>
              <w:t xml:space="preserve">Total </w:t>
            </w:r>
            <w:r w:rsidR="008076EC">
              <w:rPr>
                <w:rFonts w:asciiTheme="minorHAnsi" w:hAnsiTheme="minorHAnsi" w:cstheme="minorHAnsi"/>
                <w:b/>
                <w:bCs/>
                <w:i/>
                <w:iCs/>
              </w:rPr>
              <w:t>N</w:t>
            </w:r>
            <w:r>
              <w:rPr>
                <w:rFonts w:asciiTheme="minorHAnsi" w:hAnsiTheme="minorHAnsi" w:cstheme="minorHAnsi"/>
                <w:b/>
                <w:bCs/>
                <w:i/>
                <w:iCs/>
              </w:rPr>
              <w:t xml:space="preserve">et </w:t>
            </w:r>
            <w:r w:rsidR="008076EC">
              <w:rPr>
                <w:rFonts w:asciiTheme="minorHAnsi" w:hAnsiTheme="minorHAnsi" w:cstheme="minorHAnsi"/>
                <w:b/>
                <w:bCs/>
                <w:i/>
                <w:iCs/>
              </w:rPr>
              <w:t>E</w:t>
            </w:r>
            <w:r>
              <w:rPr>
                <w:rFonts w:asciiTheme="minorHAnsi" w:hAnsiTheme="minorHAnsi" w:cstheme="minorHAnsi"/>
                <w:b/>
                <w:bCs/>
                <w:i/>
                <w:iCs/>
              </w:rPr>
              <w:t>missions</w:t>
            </w:r>
          </w:p>
        </w:tc>
        <w:tc>
          <w:tcPr>
            <w:tcW w:w="1559" w:type="dxa"/>
            <w:shd w:val="clear" w:color="auto" w:fill="D0CECE" w:themeFill="background2" w:themeFillShade="E6"/>
          </w:tcPr>
          <w:p w14:paraId="062BBACA" w14:textId="703A1E93" w:rsidR="00170297" w:rsidRPr="00644138" w:rsidRDefault="00644138" w:rsidP="008076EC">
            <w:pPr>
              <w:jc w:val="center"/>
              <w:rPr>
                <w:rFonts w:ascii="Aptos Narrow" w:hAnsi="Aptos Narrow"/>
                <w:color w:val="000000"/>
              </w:rPr>
            </w:pPr>
            <w:r w:rsidRPr="00644138">
              <w:rPr>
                <w:rFonts w:ascii="Aptos Narrow" w:hAnsi="Aptos Narrow"/>
                <w:color w:val="000000"/>
              </w:rPr>
              <w:t>16,429</w:t>
            </w:r>
          </w:p>
        </w:tc>
        <w:tc>
          <w:tcPr>
            <w:tcW w:w="1656" w:type="dxa"/>
            <w:shd w:val="clear" w:color="auto" w:fill="D0CECE" w:themeFill="background2" w:themeFillShade="E6"/>
          </w:tcPr>
          <w:p w14:paraId="56A98756" w14:textId="0E127602" w:rsidR="00170297" w:rsidRPr="00644138" w:rsidRDefault="00162FCD" w:rsidP="00644138">
            <w:pPr>
              <w:jc w:val="center"/>
              <w:rPr>
                <w:rFonts w:ascii="Aptos Narrow" w:hAnsi="Aptos Narrow"/>
                <w:color w:val="000000"/>
              </w:rPr>
            </w:pPr>
            <w:r>
              <w:rPr>
                <w:rFonts w:ascii="Aptos Narrow" w:hAnsi="Aptos Narrow"/>
                <w:color w:val="000000"/>
              </w:rPr>
              <w:t>9,</w:t>
            </w:r>
            <w:r w:rsidR="002D5F46">
              <w:rPr>
                <w:rFonts w:ascii="Aptos Narrow" w:hAnsi="Aptos Narrow"/>
                <w:color w:val="000000"/>
              </w:rPr>
              <w:t>34</w:t>
            </w:r>
            <w:r w:rsidR="004E4DBB">
              <w:rPr>
                <w:rFonts w:ascii="Aptos Narrow" w:hAnsi="Aptos Narrow"/>
                <w:color w:val="000000"/>
              </w:rPr>
              <w:t>7</w:t>
            </w:r>
          </w:p>
        </w:tc>
        <w:tc>
          <w:tcPr>
            <w:tcW w:w="2004" w:type="dxa"/>
            <w:shd w:val="clear" w:color="auto" w:fill="D0CECE" w:themeFill="background2" w:themeFillShade="E6"/>
          </w:tcPr>
          <w:p w14:paraId="40B9D1AC" w14:textId="56580E86" w:rsidR="00170297" w:rsidRPr="00644138" w:rsidRDefault="00162FCD" w:rsidP="3821101D">
            <w:pPr>
              <w:jc w:val="center"/>
              <w:rPr>
                <w:rFonts w:ascii="Aptos Narrow" w:hAnsi="Aptos Narrow"/>
                <w:color w:val="000000"/>
              </w:rPr>
            </w:pPr>
            <w:r>
              <w:rPr>
                <w:rFonts w:ascii="Aptos Narrow" w:hAnsi="Aptos Narrow"/>
                <w:color w:val="000000"/>
              </w:rPr>
              <w:t>-4</w:t>
            </w:r>
            <w:r w:rsidR="009E7D59">
              <w:rPr>
                <w:rFonts w:ascii="Aptos Narrow" w:hAnsi="Aptos Narrow"/>
                <w:color w:val="000000"/>
              </w:rPr>
              <w:t>3</w:t>
            </w:r>
            <w:r>
              <w:rPr>
                <w:rFonts w:ascii="Aptos Narrow" w:hAnsi="Aptos Narrow"/>
                <w:color w:val="000000"/>
              </w:rPr>
              <w:t>%</w:t>
            </w:r>
          </w:p>
        </w:tc>
      </w:tr>
    </w:tbl>
    <w:p w14:paraId="20978D1F" w14:textId="77777777" w:rsidR="006465A4" w:rsidRDefault="006465A4" w:rsidP="006465A4">
      <w:pPr>
        <w:rPr>
          <w:rFonts w:asciiTheme="minorHAnsi" w:hAnsiTheme="minorHAnsi" w:cstheme="minorHAnsi"/>
        </w:rPr>
      </w:pPr>
    </w:p>
    <w:p w14:paraId="5F508E4C" w14:textId="79CDE1E8" w:rsidR="00466A79" w:rsidRPr="00C70876" w:rsidRDefault="00466A79" w:rsidP="00825C9B">
      <w:pPr>
        <w:jc w:val="both"/>
        <w:rPr>
          <w:rFonts w:asciiTheme="minorHAnsi" w:hAnsiTheme="minorHAnsi"/>
          <w:b/>
          <w:bCs/>
        </w:rPr>
      </w:pPr>
    </w:p>
    <w:p w14:paraId="432EED61"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3A7214DD"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55213259"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009C7A09"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0C5592ED"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6CEE8FF7"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3EFCF406"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3B7F77A7"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2F299D65"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7E32309F"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5E553396"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3D0999FD"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2BDD1406"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0A614DF9"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55D0283B"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124F8BEC"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6C919FE2"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4EBB4277"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50159E8D"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38A1F2F6" w14:textId="77777777" w:rsidR="00245E18" w:rsidRDefault="00245E18" w:rsidP="00536F62">
      <w:pPr>
        <w:pStyle w:val="paragraph"/>
        <w:spacing w:before="0" w:beforeAutospacing="0" w:after="0" w:afterAutospacing="0"/>
        <w:jc w:val="both"/>
        <w:textAlignment w:val="baseline"/>
        <w:rPr>
          <w:rStyle w:val="normaltextrun"/>
          <w:rFonts w:ascii="Calibri" w:hAnsi="Calibri" w:cs="Calibri"/>
        </w:rPr>
      </w:pPr>
    </w:p>
    <w:p w14:paraId="349240DE" w14:textId="310E6E47" w:rsidR="002D0554" w:rsidRDefault="009C13BD" w:rsidP="00536F62">
      <w:pPr>
        <w:pStyle w:val="paragraph"/>
        <w:spacing w:before="0" w:beforeAutospacing="0" w:after="0" w:afterAutospacing="0"/>
        <w:jc w:val="both"/>
        <w:textAlignment w:val="baseline"/>
        <w:rPr>
          <w:rStyle w:val="eop"/>
          <w:rFonts w:ascii="Calibri" w:hAnsi="Calibri" w:cs="Calibri"/>
        </w:rPr>
      </w:pPr>
      <w:r w:rsidRPr="00C70876">
        <w:rPr>
          <w:rStyle w:val="normaltextrun"/>
          <w:rFonts w:ascii="Calibri" w:hAnsi="Calibri" w:cs="Calibri"/>
        </w:rPr>
        <w:lastRenderedPageBreak/>
        <w:t>With our</w:t>
      </w:r>
      <w:r w:rsidR="00651BF8" w:rsidRPr="00C70876">
        <w:rPr>
          <w:rStyle w:val="normaltextrun"/>
          <w:rFonts w:ascii="Calibri" w:hAnsi="Calibri" w:cs="Calibri"/>
        </w:rPr>
        <w:t xml:space="preserve"> ‘Towards net zero 2030 strategy</w:t>
      </w:r>
      <w:r w:rsidRPr="00C70876">
        <w:rPr>
          <w:rStyle w:val="normaltextrun"/>
          <w:rFonts w:ascii="Calibri" w:hAnsi="Calibri" w:cs="Calibri"/>
        </w:rPr>
        <w:t>’</w:t>
      </w:r>
      <w:r w:rsidR="00774C01" w:rsidRPr="00C70876">
        <w:rPr>
          <w:rStyle w:val="normaltextrun"/>
          <w:rFonts w:ascii="Calibri" w:hAnsi="Calibri" w:cs="Calibri"/>
        </w:rPr>
        <w:t xml:space="preserve"> revised</w:t>
      </w:r>
      <w:r w:rsidR="004876B8" w:rsidRPr="00C70876">
        <w:rPr>
          <w:rStyle w:val="normaltextrun"/>
          <w:rFonts w:ascii="Calibri" w:hAnsi="Calibri" w:cs="Calibri"/>
        </w:rPr>
        <w:t xml:space="preserve"> </w:t>
      </w:r>
      <w:r w:rsidRPr="00C70876">
        <w:rPr>
          <w:rStyle w:val="normaltextrun"/>
          <w:rFonts w:ascii="Calibri" w:hAnsi="Calibri" w:cs="Calibri"/>
        </w:rPr>
        <w:t>in 202</w:t>
      </w:r>
      <w:r w:rsidR="00774C01" w:rsidRPr="00C70876">
        <w:rPr>
          <w:rStyle w:val="normaltextrun"/>
          <w:rFonts w:ascii="Calibri" w:hAnsi="Calibri" w:cs="Calibri"/>
        </w:rPr>
        <w:t>4</w:t>
      </w:r>
      <w:r w:rsidRPr="00C70876">
        <w:rPr>
          <w:rStyle w:val="normaltextrun"/>
          <w:rFonts w:ascii="Calibri" w:hAnsi="Calibri" w:cs="Calibri"/>
        </w:rPr>
        <w:t xml:space="preserve">, </w:t>
      </w:r>
      <w:r w:rsidR="00774C01" w:rsidRPr="00C70876">
        <w:rPr>
          <w:rStyle w:val="normaltextrun"/>
          <w:rFonts w:ascii="Calibri" w:hAnsi="Calibri" w:cs="Calibri"/>
        </w:rPr>
        <w:t xml:space="preserve">with </w:t>
      </w:r>
      <w:r w:rsidRPr="00C70876">
        <w:rPr>
          <w:rStyle w:val="normaltextrun"/>
          <w:rFonts w:ascii="Calibri" w:hAnsi="Calibri" w:cs="Calibri"/>
        </w:rPr>
        <w:t xml:space="preserve">new targets added, the strategy </w:t>
      </w:r>
      <w:r w:rsidR="00651BF8" w:rsidRPr="00C70876">
        <w:rPr>
          <w:rStyle w:val="normaltextrun"/>
          <w:rFonts w:ascii="Calibri" w:hAnsi="Calibri" w:cs="Calibri"/>
        </w:rPr>
        <w:t>identif</w:t>
      </w:r>
      <w:r w:rsidRPr="00C70876">
        <w:rPr>
          <w:rStyle w:val="normaltextrun"/>
          <w:rFonts w:ascii="Calibri" w:hAnsi="Calibri" w:cs="Calibri"/>
        </w:rPr>
        <w:t>ies</w:t>
      </w:r>
      <w:r w:rsidR="00651BF8" w:rsidRPr="00C70876">
        <w:rPr>
          <w:rStyle w:val="normaltextrun"/>
          <w:rFonts w:ascii="Calibri" w:hAnsi="Calibri" w:cs="Calibri"/>
        </w:rPr>
        <w:t xml:space="preserve"> a range of decarbonisation priorities and actions that we will </w:t>
      </w:r>
      <w:r w:rsidRPr="00C70876">
        <w:rPr>
          <w:rStyle w:val="normaltextrun"/>
          <w:rFonts w:ascii="Calibri" w:hAnsi="Calibri" w:cs="Calibri"/>
        </w:rPr>
        <w:t xml:space="preserve">continue to work </w:t>
      </w:r>
      <w:r w:rsidR="00651BF8" w:rsidRPr="00C70876">
        <w:rPr>
          <w:rStyle w:val="normaltextrun"/>
          <w:rFonts w:ascii="Calibri" w:hAnsi="Calibri" w:cs="Calibri"/>
        </w:rPr>
        <w:t>on to get as close to net zero by 2030 as possible</w:t>
      </w:r>
      <w:r w:rsidR="00651BF8" w:rsidRPr="00651BF8">
        <w:rPr>
          <w:rStyle w:val="normaltextrun"/>
          <w:rFonts w:ascii="Calibri" w:hAnsi="Calibri" w:cs="Calibri"/>
        </w:rPr>
        <w:t xml:space="preserve">. Funding availability (especially for heat decarbonisation) and grid constraints are the main barriers that we are working to overcome. </w:t>
      </w:r>
      <w:r w:rsidR="00466A79" w:rsidRPr="00651BF8">
        <w:rPr>
          <w:rFonts w:asciiTheme="minorHAnsi" w:hAnsiTheme="minorHAnsi"/>
        </w:rPr>
        <w:t>We have made significant progress over the last 12 months</w:t>
      </w:r>
      <w:r w:rsidR="00697F4B" w:rsidRPr="00697F4B">
        <w:rPr>
          <w:rStyle w:val="normaltextrun"/>
          <w:rFonts w:ascii="Calibri" w:hAnsi="Calibri" w:cs="Calibri"/>
        </w:rPr>
        <w:t>.</w:t>
      </w:r>
      <w:r w:rsidR="00FD1700" w:rsidRPr="00113220">
        <w:rPr>
          <w:rStyle w:val="eop"/>
          <w:rFonts w:ascii="Calibri" w:hAnsi="Calibri" w:cs="Calibri"/>
          <w:color w:val="FF0000"/>
          <w:sz w:val="22"/>
          <w:szCs w:val="22"/>
        </w:rPr>
        <w:t> </w:t>
      </w:r>
      <w:r w:rsidR="00FD1700" w:rsidRPr="00697F4B">
        <w:rPr>
          <w:rStyle w:val="normaltextrun"/>
          <w:rFonts w:ascii="Calibri" w:hAnsi="Calibri" w:cs="Calibri"/>
        </w:rPr>
        <w:t xml:space="preserve">The latest total net emissions were </w:t>
      </w:r>
      <w:r w:rsidR="00FD1700">
        <w:rPr>
          <w:rStyle w:val="normaltextrun"/>
          <w:rFonts w:ascii="Calibri" w:hAnsi="Calibri" w:cs="Calibri"/>
        </w:rPr>
        <w:t>9,</w:t>
      </w:r>
      <w:r w:rsidR="00536F62">
        <w:rPr>
          <w:rStyle w:val="normaltextrun"/>
          <w:rFonts w:ascii="Calibri" w:hAnsi="Calibri" w:cs="Calibri"/>
        </w:rPr>
        <w:t>34</w:t>
      </w:r>
      <w:r w:rsidR="004E4DBB">
        <w:rPr>
          <w:rStyle w:val="normaltextrun"/>
          <w:rFonts w:ascii="Calibri" w:hAnsi="Calibri" w:cs="Calibri"/>
        </w:rPr>
        <w:t>7</w:t>
      </w:r>
      <w:r w:rsidR="00FD1700">
        <w:rPr>
          <w:rStyle w:val="normaltextrun"/>
          <w:rFonts w:ascii="Calibri" w:hAnsi="Calibri" w:cs="Calibri"/>
        </w:rPr>
        <w:t xml:space="preserve"> </w:t>
      </w:r>
      <w:r w:rsidR="00FD1700" w:rsidRPr="00697F4B">
        <w:rPr>
          <w:rStyle w:val="normaltextrun"/>
          <w:rFonts w:ascii="Calibri" w:hAnsi="Calibri" w:cs="Calibri"/>
        </w:rPr>
        <w:t>tCO2e, down 4</w:t>
      </w:r>
      <w:r w:rsidR="00AB2FB9">
        <w:rPr>
          <w:rStyle w:val="normaltextrun"/>
          <w:rFonts w:ascii="Calibri" w:hAnsi="Calibri" w:cs="Calibri"/>
        </w:rPr>
        <w:t>3</w:t>
      </w:r>
      <w:r w:rsidR="00FD1700" w:rsidRPr="00697F4B">
        <w:rPr>
          <w:rStyle w:val="normaltextrun"/>
          <w:rFonts w:ascii="Calibri" w:hAnsi="Calibri" w:cs="Calibri"/>
        </w:rPr>
        <w:t>% since our base year of 2019/2020. The largest emission sources this year were Electricity (3</w:t>
      </w:r>
      <w:r w:rsidR="00FD1700">
        <w:rPr>
          <w:rStyle w:val="normaltextrun"/>
          <w:rFonts w:ascii="Calibri" w:hAnsi="Calibri" w:cs="Calibri"/>
        </w:rPr>
        <w:t>4</w:t>
      </w:r>
      <w:r w:rsidR="00FD1700" w:rsidRPr="00697F4B">
        <w:rPr>
          <w:rStyle w:val="normaltextrun"/>
          <w:rFonts w:ascii="Calibri" w:hAnsi="Calibri" w:cs="Calibri"/>
        </w:rPr>
        <w:t>%),</w:t>
      </w:r>
      <w:r w:rsidR="00FD1700">
        <w:rPr>
          <w:rStyle w:val="normaltextrun"/>
          <w:rFonts w:ascii="Calibri" w:hAnsi="Calibri" w:cs="Calibri"/>
        </w:rPr>
        <w:t xml:space="preserve"> </w:t>
      </w:r>
      <w:r w:rsidR="00FD1700" w:rsidRPr="00697F4B">
        <w:rPr>
          <w:rStyle w:val="normaltextrun"/>
          <w:rFonts w:ascii="Calibri" w:hAnsi="Calibri" w:cs="Calibri"/>
        </w:rPr>
        <w:t>Gas/Heating (</w:t>
      </w:r>
      <w:r w:rsidR="00FD1700">
        <w:rPr>
          <w:rStyle w:val="normaltextrun"/>
          <w:rFonts w:ascii="Calibri" w:hAnsi="Calibri" w:cs="Calibri"/>
        </w:rPr>
        <w:t>32</w:t>
      </w:r>
      <w:r w:rsidR="00FD1700" w:rsidRPr="00697F4B">
        <w:rPr>
          <w:rStyle w:val="normaltextrun"/>
          <w:rFonts w:ascii="Calibri" w:hAnsi="Calibri" w:cs="Calibri"/>
        </w:rPr>
        <w:t>%), Livestock and fertilizer emissions (</w:t>
      </w:r>
      <w:r w:rsidR="00FD1700">
        <w:rPr>
          <w:rStyle w:val="normaltextrun"/>
          <w:rFonts w:ascii="Calibri" w:hAnsi="Calibri" w:cs="Calibri"/>
        </w:rPr>
        <w:t>1</w:t>
      </w:r>
      <w:r w:rsidR="009E7D59">
        <w:rPr>
          <w:rStyle w:val="normaltextrun"/>
          <w:rFonts w:ascii="Calibri" w:hAnsi="Calibri" w:cs="Calibri"/>
        </w:rPr>
        <w:t>1</w:t>
      </w:r>
      <w:r w:rsidR="00FD1700" w:rsidRPr="00697F4B">
        <w:rPr>
          <w:rStyle w:val="normaltextrun"/>
          <w:rFonts w:ascii="Calibri" w:hAnsi="Calibri" w:cs="Calibri"/>
        </w:rPr>
        <w:t>%),</w:t>
      </w:r>
      <w:r w:rsidR="00FD1700">
        <w:rPr>
          <w:rStyle w:val="normaltextrun"/>
          <w:rFonts w:ascii="Calibri" w:hAnsi="Calibri" w:cs="Calibri"/>
        </w:rPr>
        <w:t xml:space="preserve"> </w:t>
      </w:r>
      <w:r w:rsidR="00FD1700" w:rsidRPr="00697F4B">
        <w:rPr>
          <w:rStyle w:val="normaltextrun"/>
          <w:rFonts w:ascii="Calibri" w:hAnsi="Calibri" w:cs="Calibri"/>
        </w:rPr>
        <w:t>Staff Commuting (8%) and Business Travel (</w:t>
      </w:r>
      <w:r w:rsidR="00FD1700">
        <w:rPr>
          <w:rStyle w:val="normaltextrun"/>
          <w:rFonts w:ascii="Calibri" w:hAnsi="Calibri" w:cs="Calibri"/>
        </w:rPr>
        <w:t>7</w:t>
      </w:r>
      <w:r w:rsidR="00FD1700" w:rsidRPr="00697F4B">
        <w:rPr>
          <w:rStyle w:val="normaltextrun"/>
          <w:rFonts w:ascii="Calibri" w:hAnsi="Calibri" w:cs="Calibri"/>
        </w:rPr>
        <w:t xml:space="preserve">%). </w:t>
      </w:r>
      <w:r w:rsidR="00FD1700" w:rsidRPr="00697F4B">
        <w:rPr>
          <w:rStyle w:val="eop"/>
          <w:rFonts w:ascii="Calibri" w:hAnsi="Calibri" w:cs="Calibri"/>
        </w:rPr>
        <w:t>Sequestration currently offsets 20% of our total emis</w:t>
      </w:r>
      <w:r w:rsidR="00C70876">
        <w:rPr>
          <w:rStyle w:val="eop"/>
          <w:rFonts w:ascii="Calibri" w:hAnsi="Calibri" w:cs="Calibri"/>
        </w:rPr>
        <w:t>sions.</w:t>
      </w:r>
      <w:r w:rsidR="002D0554">
        <w:rPr>
          <w:rStyle w:val="eop"/>
          <w:rFonts w:ascii="Calibri" w:hAnsi="Calibri" w:cs="Calibri"/>
        </w:rPr>
        <w:t xml:space="preserve"> </w:t>
      </w:r>
      <w:r w:rsidR="000D63D6">
        <w:rPr>
          <w:rStyle w:val="eop"/>
          <w:rFonts w:ascii="Calibri" w:hAnsi="Calibri" w:cs="Calibri"/>
        </w:rPr>
        <w:t>To be on track for N</w:t>
      </w:r>
      <w:r w:rsidR="00C234A3">
        <w:rPr>
          <w:rStyle w:val="eop"/>
          <w:rFonts w:ascii="Calibri" w:hAnsi="Calibri" w:cs="Calibri"/>
        </w:rPr>
        <w:t xml:space="preserve">et </w:t>
      </w:r>
      <w:r w:rsidR="000D63D6">
        <w:rPr>
          <w:rStyle w:val="eop"/>
          <w:rFonts w:ascii="Calibri" w:hAnsi="Calibri" w:cs="Calibri"/>
        </w:rPr>
        <w:t>Z</w:t>
      </w:r>
      <w:r w:rsidR="00C234A3">
        <w:rPr>
          <w:rStyle w:val="eop"/>
          <w:rFonts w:ascii="Calibri" w:hAnsi="Calibri" w:cs="Calibri"/>
        </w:rPr>
        <w:t>ero</w:t>
      </w:r>
      <w:r w:rsidR="000D63D6">
        <w:rPr>
          <w:rStyle w:val="eop"/>
          <w:rFonts w:ascii="Calibri" w:hAnsi="Calibri" w:cs="Calibri"/>
        </w:rPr>
        <w:t xml:space="preserve"> </w:t>
      </w:r>
      <w:r w:rsidR="00C234A3">
        <w:rPr>
          <w:rStyle w:val="eop"/>
          <w:rFonts w:ascii="Calibri" w:hAnsi="Calibri" w:cs="Calibri"/>
        </w:rPr>
        <w:t xml:space="preserve">emissions </w:t>
      </w:r>
      <w:r w:rsidR="000D63D6">
        <w:rPr>
          <w:rStyle w:val="eop"/>
          <w:rFonts w:ascii="Calibri" w:hAnsi="Calibri" w:cs="Calibri"/>
        </w:rPr>
        <w:t xml:space="preserve">by 2030, we needed to achieve a 36% reduction in our emissions since our base year. We have exceeded this figure with </w:t>
      </w:r>
      <w:r w:rsidR="00C234A3">
        <w:rPr>
          <w:rStyle w:val="eop"/>
          <w:rFonts w:ascii="Calibri" w:hAnsi="Calibri" w:cs="Calibri"/>
        </w:rPr>
        <w:t xml:space="preserve">a </w:t>
      </w:r>
      <w:r w:rsidR="000D63D6">
        <w:rPr>
          <w:rStyle w:val="eop"/>
          <w:rFonts w:ascii="Calibri" w:hAnsi="Calibri" w:cs="Calibri"/>
        </w:rPr>
        <w:t xml:space="preserve">43% emissions reduction since 2019. </w:t>
      </w:r>
    </w:p>
    <w:p w14:paraId="7245FA53" w14:textId="77777777" w:rsidR="00245E18" w:rsidRDefault="00245E18" w:rsidP="00536F62">
      <w:pPr>
        <w:pStyle w:val="paragraph"/>
        <w:spacing w:before="0" w:beforeAutospacing="0" w:after="0" w:afterAutospacing="0"/>
        <w:jc w:val="both"/>
        <w:textAlignment w:val="baseline"/>
        <w:rPr>
          <w:rStyle w:val="eop"/>
          <w:rFonts w:ascii="Calibri" w:hAnsi="Calibri" w:cs="Calibri"/>
        </w:rPr>
      </w:pPr>
    </w:p>
    <w:p w14:paraId="0748A428" w14:textId="49B86393" w:rsidR="00941511" w:rsidRDefault="00941511" w:rsidP="00536F62">
      <w:pPr>
        <w:pStyle w:val="paragraph"/>
        <w:spacing w:before="0" w:beforeAutospacing="0" w:after="0" w:afterAutospacing="0"/>
        <w:jc w:val="both"/>
        <w:textAlignment w:val="baseline"/>
        <w:rPr>
          <w:rStyle w:val="eop"/>
          <w:rFonts w:ascii="Calibri" w:hAnsi="Calibri" w:cs="Calibri"/>
        </w:rPr>
      </w:pPr>
      <w:r>
        <w:rPr>
          <w:noProof/>
        </w:rPr>
        <w:drawing>
          <wp:inline distT="0" distB="0" distL="0" distR="0" wp14:anchorId="41D0D4B8" wp14:editId="72CA133F">
            <wp:extent cx="6120130" cy="3126740"/>
            <wp:effectExtent l="0" t="0" r="13970" b="16510"/>
            <wp:docPr id="472806406" name="Chart 1">
              <a:extLst xmlns:a="http://schemas.openxmlformats.org/drawingml/2006/main">
                <a:ext uri="{FF2B5EF4-FFF2-40B4-BE49-F238E27FC236}">
                  <a16:creationId xmlns:a16="http://schemas.microsoft.com/office/drawing/2014/main" id="{E241D4FE-6BE4-1658-A21C-C541094149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CFB8CC9" w14:textId="77777777" w:rsidR="00941511" w:rsidRDefault="00941511" w:rsidP="00941511">
      <w:pPr>
        <w:jc w:val="both"/>
        <w:rPr>
          <w:rFonts w:asciiTheme="minorHAnsi" w:hAnsiTheme="minorHAnsi" w:cstheme="minorHAnsi"/>
          <w:i/>
          <w:iCs/>
        </w:rPr>
      </w:pPr>
      <w:r w:rsidRPr="00807C92">
        <w:rPr>
          <w:rFonts w:asciiTheme="minorHAnsi" w:hAnsiTheme="minorHAnsi" w:cstheme="minorHAnsi"/>
          <w:i/>
          <w:iCs/>
        </w:rPr>
        <w:t xml:space="preserve">Fig 1. </w:t>
      </w:r>
      <w:r>
        <w:rPr>
          <w:rFonts w:asciiTheme="minorHAnsi" w:hAnsiTheme="minorHAnsi" w:cstheme="minorHAnsi"/>
          <w:i/>
          <w:iCs/>
        </w:rPr>
        <w:t xml:space="preserve">Table of our estimated emissions against forecasted emissions and our net zero target line. </w:t>
      </w:r>
    </w:p>
    <w:p w14:paraId="2BC29054" w14:textId="77777777" w:rsidR="00C70876" w:rsidRDefault="00C70876" w:rsidP="00536F62">
      <w:pPr>
        <w:pStyle w:val="paragraph"/>
        <w:spacing w:before="0" w:beforeAutospacing="0" w:after="0" w:afterAutospacing="0"/>
        <w:jc w:val="both"/>
        <w:textAlignment w:val="baseline"/>
        <w:rPr>
          <w:rStyle w:val="eop"/>
          <w:rFonts w:ascii="Calibri" w:hAnsi="Calibri" w:cs="Calibri"/>
        </w:rPr>
      </w:pPr>
    </w:p>
    <w:p w14:paraId="7F110979" w14:textId="7738B89F" w:rsidR="00C03625" w:rsidRPr="00941511" w:rsidRDefault="00C03625" w:rsidP="00941511">
      <w:pPr>
        <w:pStyle w:val="paragraph"/>
        <w:spacing w:before="0" w:beforeAutospacing="0" w:after="0" w:afterAutospacing="0"/>
        <w:jc w:val="both"/>
        <w:textAlignment w:val="baseline"/>
        <w:rPr>
          <w:rFonts w:ascii="Calibri" w:hAnsi="Calibri" w:cs="Calibri"/>
        </w:rPr>
      </w:pPr>
    </w:p>
    <w:p w14:paraId="4DADEC33" w14:textId="77777777" w:rsidR="00351CD8" w:rsidRDefault="00351CD8" w:rsidP="006F700E">
      <w:pPr>
        <w:ind w:firstLine="720"/>
        <w:rPr>
          <w:rFonts w:asciiTheme="minorHAnsi" w:hAnsiTheme="minorHAnsi" w:cstheme="minorHAnsi"/>
          <w:i/>
          <w:iCs/>
        </w:rPr>
      </w:pPr>
    </w:p>
    <w:p w14:paraId="3C8AE4C8" w14:textId="5FA16509" w:rsidR="006465A4" w:rsidRPr="006F700E" w:rsidRDefault="006465A4" w:rsidP="006F700E">
      <w:pPr>
        <w:ind w:firstLine="720"/>
        <w:rPr>
          <w:rFonts w:asciiTheme="minorHAnsi" w:hAnsiTheme="minorHAnsi" w:cstheme="minorHAnsi"/>
          <w:i/>
          <w:iCs/>
        </w:rPr>
      </w:pPr>
      <w:r w:rsidRPr="006F700E">
        <w:rPr>
          <w:rFonts w:asciiTheme="minorHAnsi" w:hAnsiTheme="minorHAnsi" w:cstheme="minorHAnsi"/>
          <w:i/>
          <w:iCs/>
        </w:rPr>
        <w:t>Table 2. Supply chain emissions</w:t>
      </w:r>
    </w:p>
    <w:p w14:paraId="03EE3393" w14:textId="77777777" w:rsidR="006F700E" w:rsidRDefault="006F700E" w:rsidP="006465A4">
      <w:pPr>
        <w:rPr>
          <w:rFonts w:asciiTheme="minorHAnsi" w:hAnsiTheme="minorHAnsi" w:cstheme="minorHAnsi"/>
        </w:rPr>
      </w:pPr>
    </w:p>
    <w:tbl>
      <w:tblPr>
        <w:tblStyle w:val="TableGrid"/>
        <w:tblW w:w="0" w:type="auto"/>
        <w:jc w:val="center"/>
        <w:tblLook w:val="04A0" w:firstRow="1" w:lastRow="0" w:firstColumn="1" w:lastColumn="0" w:noHBand="0" w:noVBand="1"/>
      </w:tblPr>
      <w:tblGrid>
        <w:gridCol w:w="2693"/>
        <w:gridCol w:w="1555"/>
        <w:gridCol w:w="1701"/>
        <w:gridCol w:w="1984"/>
      </w:tblGrid>
      <w:tr w:rsidR="00646A62" w:rsidRPr="006938FF" w14:paraId="75B59564" w14:textId="77777777" w:rsidTr="006F700E">
        <w:trPr>
          <w:trHeight w:val="625"/>
          <w:jc w:val="center"/>
        </w:trPr>
        <w:tc>
          <w:tcPr>
            <w:tcW w:w="2693" w:type="dxa"/>
            <w:shd w:val="clear" w:color="auto" w:fill="D9D9D9" w:themeFill="background1" w:themeFillShade="D9"/>
          </w:tcPr>
          <w:p w14:paraId="37778E85" w14:textId="092FD0D2" w:rsidR="00646A62" w:rsidRPr="00CB7BB9" w:rsidRDefault="00646A62">
            <w:pPr>
              <w:jc w:val="both"/>
              <w:rPr>
                <w:rFonts w:asciiTheme="minorHAnsi" w:hAnsiTheme="minorHAnsi" w:cstheme="minorHAnsi"/>
                <w:b/>
                <w:i/>
              </w:rPr>
            </w:pPr>
            <w:r w:rsidRPr="00CB7BB9">
              <w:rPr>
                <w:rFonts w:asciiTheme="minorHAnsi" w:hAnsiTheme="minorHAnsi" w:cstheme="minorHAnsi"/>
                <w:b/>
                <w:i/>
              </w:rPr>
              <w:t>Emission</w:t>
            </w:r>
            <w:r w:rsidR="006F700E">
              <w:rPr>
                <w:rFonts w:asciiTheme="minorHAnsi" w:hAnsiTheme="minorHAnsi" w:cstheme="minorHAnsi"/>
                <w:b/>
                <w:i/>
              </w:rPr>
              <w:t>s</w:t>
            </w:r>
            <w:r w:rsidRPr="00CB7BB9">
              <w:rPr>
                <w:rFonts w:asciiTheme="minorHAnsi" w:hAnsiTheme="minorHAnsi" w:cstheme="minorHAnsi"/>
                <w:b/>
                <w:i/>
              </w:rPr>
              <w:t xml:space="preserve"> source</w:t>
            </w:r>
          </w:p>
        </w:tc>
        <w:tc>
          <w:tcPr>
            <w:tcW w:w="1555" w:type="dxa"/>
            <w:shd w:val="clear" w:color="auto" w:fill="D9D9D9" w:themeFill="background1" w:themeFillShade="D9"/>
          </w:tcPr>
          <w:p w14:paraId="00A35132" w14:textId="77777777" w:rsidR="00646A62" w:rsidRDefault="00646A62">
            <w:pPr>
              <w:jc w:val="center"/>
              <w:rPr>
                <w:rFonts w:asciiTheme="minorHAnsi" w:hAnsiTheme="minorHAnsi" w:cstheme="minorHAnsi"/>
                <w:b/>
                <w:i/>
              </w:rPr>
            </w:pPr>
            <w:r w:rsidRPr="00CB7BB9">
              <w:rPr>
                <w:rFonts w:asciiTheme="minorHAnsi" w:hAnsiTheme="minorHAnsi" w:cstheme="minorHAnsi"/>
                <w:b/>
                <w:i/>
              </w:rPr>
              <w:t>2019/20</w:t>
            </w:r>
          </w:p>
          <w:p w14:paraId="146EAC94" w14:textId="77777777" w:rsidR="00646A62" w:rsidRPr="00CB7BB9" w:rsidRDefault="00646A62">
            <w:pPr>
              <w:jc w:val="center"/>
              <w:rPr>
                <w:rFonts w:asciiTheme="minorHAnsi" w:hAnsiTheme="minorHAnsi" w:cstheme="minorHAnsi"/>
                <w:b/>
                <w:i/>
              </w:rPr>
            </w:pPr>
            <w:r>
              <w:rPr>
                <w:rFonts w:asciiTheme="minorHAnsi" w:hAnsiTheme="minorHAnsi" w:cstheme="minorHAnsi"/>
                <w:b/>
                <w:i/>
              </w:rPr>
              <w:t xml:space="preserve">Base year </w:t>
            </w:r>
          </w:p>
        </w:tc>
        <w:tc>
          <w:tcPr>
            <w:tcW w:w="1701" w:type="dxa"/>
            <w:shd w:val="clear" w:color="auto" w:fill="D9D9D9" w:themeFill="background1" w:themeFillShade="D9"/>
          </w:tcPr>
          <w:p w14:paraId="3CA674E2" w14:textId="77777777" w:rsidR="00646A62" w:rsidRDefault="00646A62">
            <w:pPr>
              <w:jc w:val="center"/>
              <w:rPr>
                <w:rFonts w:asciiTheme="minorHAnsi" w:hAnsiTheme="minorHAnsi" w:cstheme="minorHAnsi"/>
                <w:b/>
                <w:i/>
              </w:rPr>
            </w:pPr>
            <w:r w:rsidRPr="00CB7BB9">
              <w:rPr>
                <w:rFonts w:asciiTheme="minorHAnsi" w:hAnsiTheme="minorHAnsi" w:cstheme="minorHAnsi"/>
                <w:b/>
                <w:i/>
              </w:rPr>
              <w:t>202</w:t>
            </w:r>
            <w:r>
              <w:rPr>
                <w:rFonts w:asciiTheme="minorHAnsi" w:hAnsiTheme="minorHAnsi" w:cstheme="minorHAnsi"/>
                <w:b/>
                <w:i/>
              </w:rPr>
              <w:t>2</w:t>
            </w:r>
            <w:r w:rsidRPr="00CB7BB9">
              <w:rPr>
                <w:rFonts w:asciiTheme="minorHAnsi" w:hAnsiTheme="minorHAnsi" w:cstheme="minorHAnsi"/>
                <w:b/>
                <w:i/>
              </w:rPr>
              <w:t>/2</w:t>
            </w:r>
            <w:r>
              <w:rPr>
                <w:rFonts w:asciiTheme="minorHAnsi" w:hAnsiTheme="minorHAnsi" w:cstheme="minorHAnsi"/>
                <w:b/>
                <w:i/>
              </w:rPr>
              <w:t>3</w:t>
            </w:r>
          </w:p>
          <w:p w14:paraId="74DF7332" w14:textId="014B3C83" w:rsidR="006F700E" w:rsidRPr="00CB7BB9" w:rsidRDefault="006F700E">
            <w:pPr>
              <w:jc w:val="center"/>
              <w:rPr>
                <w:rFonts w:asciiTheme="minorHAnsi" w:hAnsiTheme="minorHAnsi" w:cstheme="minorHAnsi"/>
                <w:b/>
                <w:i/>
              </w:rPr>
            </w:pPr>
            <w:r>
              <w:rPr>
                <w:rFonts w:asciiTheme="minorHAnsi" w:hAnsiTheme="minorHAnsi" w:cstheme="minorHAnsi"/>
                <w:b/>
                <w:i/>
              </w:rPr>
              <w:t>Current year</w:t>
            </w:r>
          </w:p>
        </w:tc>
        <w:tc>
          <w:tcPr>
            <w:tcW w:w="1984" w:type="dxa"/>
            <w:shd w:val="clear" w:color="auto" w:fill="D9D9D9" w:themeFill="background1" w:themeFillShade="D9"/>
          </w:tcPr>
          <w:p w14:paraId="3B532ACE" w14:textId="53713723" w:rsidR="00646A62" w:rsidRDefault="00646A62">
            <w:pPr>
              <w:jc w:val="center"/>
              <w:rPr>
                <w:rFonts w:asciiTheme="minorHAnsi" w:hAnsiTheme="minorHAnsi" w:cstheme="minorHAnsi"/>
                <w:b/>
                <w:i/>
              </w:rPr>
            </w:pPr>
            <w:r>
              <w:rPr>
                <w:rFonts w:asciiTheme="minorHAnsi" w:hAnsiTheme="minorHAnsi" w:cstheme="minorHAnsi"/>
                <w:b/>
                <w:i/>
              </w:rPr>
              <w:t>% Change from base year</w:t>
            </w:r>
          </w:p>
        </w:tc>
      </w:tr>
      <w:tr w:rsidR="00646A62" w:rsidRPr="006938FF" w14:paraId="0EEF69AB" w14:textId="77777777" w:rsidTr="006F700E">
        <w:trPr>
          <w:jc w:val="center"/>
        </w:trPr>
        <w:tc>
          <w:tcPr>
            <w:tcW w:w="2693" w:type="dxa"/>
          </w:tcPr>
          <w:p w14:paraId="523109E6" w14:textId="77777777" w:rsidR="00646A62" w:rsidRPr="00D10939" w:rsidRDefault="00646A62">
            <w:pPr>
              <w:jc w:val="both"/>
              <w:rPr>
                <w:rFonts w:asciiTheme="minorHAnsi" w:hAnsiTheme="minorHAnsi" w:cstheme="minorHAnsi"/>
                <w:i/>
              </w:rPr>
            </w:pPr>
            <w:r w:rsidRPr="00D10939">
              <w:rPr>
                <w:rFonts w:asciiTheme="minorHAnsi" w:hAnsiTheme="minorHAnsi" w:cstheme="minorHAnsi"/>
                <w:i/>
              </w:rPr>
              <w:t>Supply chain</w:t>
            </w:r>
          </w:p>
        </w:tc>
        <w:tc>
          <w:tcPr>
            <w:tcW w:w="1555" w:type="dxa"/>
          </w:tcPr>
          <w:p w14:paraId="3E559E09" w14:textId="77777777" w:rsidR="00646A62" w:rsidRPr="00D10939" w:rsidRDefault="00646A62">
            <w:pPr>
              <w:jc w:val="center"/>
              <w:rPr>
                <w:rFonts w:asciiTheme="minorHAnsi" w:hAnsiTheme="minorHAnsi" w:cstheme="minorHAnsi"/>
                <w:i/>
              </w:rPr>
            </w:pPr>
            <w:r w:rsidRPr="00D10939">
              <w:rPr>
                <w:rFonts w:asciiTheme="minorHAnsi" w:hAnsiTheme="minorHAnsi" w:cstheme="minorHAnsi"/>
                <w:i/>
              </w:rPr>
              <w:t>29,082</w:t>
            </w:r>
          </w:p>
        </w:tc>
        <w:tc>
          <w:tcPr>
            <w:tcW w:w="1701" w:type="dxa"/>
          </w:tcPr>
          <w:p w14:paraId="759CA52B" w14:textId="406746E7" w:rsidR="00646A62" w:rsidRPr="00D10939" w:rsidRDefault="002C25C8">
            <w:pPr>
              <w:jc w:val="center"/>
              <w:rPr>
                <w:rFonts w:asciiTheme="minorHAnsi" w:hAnsiTheme="minorHAnsi" w:cstheme="minorHAnsi"/>
                <w:i/>
              </w:rPr>
            </w:pPr>
            <w:r>
              <w:rPr>
                <w:rFonts w:asciiTheme="minorHAnsi" w:hAnsiTheme="minorHAnsi" w:cstheme="minorHAnsi"/>
                <w:i/>
              </w:rPr>
              <w:t>6549</w:t>
            </w:r>
          </w:p>
        </w:tc>
        <w:tc>
          <w:tcPr>
            <w:tcW w:w="1984" w:type="dxa"/>
          </w:tcPr>
          <w:p w14:paraId="15796406" w14:textId="567C58B4" w:rsidR="00646A62" w:rsidRPr="00BA0324" w:rsidRDefault="00431AA5">
            <w:pPr>
              <w:jc w:val="center"/>
              <w:rPr>
                <w:rFonts w:asciiTheme="minorHAnsi" w:hAnsiTheme="minorHAnsi" w:cstheme="minorHAnsi"/>
                <w:i/>
                <w:color w:val="FF0000"/>
              </w:rPr>
            </w:pPr>
            <w:r>
              <w:rPr>
                <w:rFonts w:asciiTheme="minorHAnsi" w:hAnsiTheme="minorHAnsi" w:cstheme="minorHAnsi"/>
                <w:i/>
              </w:rPr>
              <w:t>-</w:t>
            </w:r>
            <w:r w:rsidR="002C25C8">
              <w:rPr>
                <w:rFonts w:asciiTheme="minorHAnsi" w:hAnsiTheme="minorHAnsi" w:cstheme="minorHAnsi"/>
                <w:i/>
              </w:rPr>
              <w:t>77</w:t>
            </w:r>
            <w:r>
              <w:rPr>
                <w:rFonts w:asciiTheme="minorHAnsi" w:hAnsiTheme="minorHAnsi" w:cstheme="minorHAnsi"/>
                <w:i/>
              </w:rPr>
              <w:t>%</w:t>
            </w:r>
          </w:p>
        </w:tc>
      </w:tr>
    </w:tbl>
    <w:p w14:paraId="11B56F02" w14:textId="77777777" w:rsidR="006465A4" w:rsidRDefault="006465A4" w:rsidP="006465A4">
      <w:pPr>
        <w:rPr>
          <w:rFonts w:asciiTheme="minorHAnsi" w:hAnsiTheme="minorHAnsi" w:cstheme="minorHAnsi"/>
        </w:rPr>
      </w:pPr>
    </w:p>
    <w:p w14:paraId="0E194DDA" w14:textId="77777777" w:rsidR="00CE73E8" w:rsidRPr="00CC77E0" w:rsidRDefault="00CE73E8" w:rsidP="00CE73E8">
      <w:pPr>
        <w:pStyle w:val="paragraph"/>
        <w:spacing w:before="0" w:beforeAutospacing="0" w:after="0" w:afterAutospacing="0"/>
        <w:jc w:val="both"/>
        <w:textAlignment w:val="baseline"/>
        <w:rPr>
          <w:rStyle w:val="normaltextrun"/>
          <w:rFonts w:ascii="Calibri" w:hAnsi="Calibri" w:cs="Calibri"/>
          <w:sz w:val="22"/>
          <w:szCs w:val="22"/>
        </w:rPr>
      </w:pPr>
    </w:p>
    <w:p w14:paraId="40E2175B" w14:textId="666F7580" w:rsidR="00941511" w:rsidRPr="00941511" w:rsidRDefault="00CE73E8" w:rsidP="006465A4">
      <w:pPr>
        <w:jc w:val="both"/>
        <w:rPr>
          <w:rFonts w:ascii="Calibri" w:hAnsi="Calibri" w:cs="Calibri"/>
          <w:sz w:val="24"/>
          <w:szCs w:val="24"/>
        </w:rPr>
      </w:pPr>
      <w:r w:rsidRPr="00CC77E0">
        <w:rPr>
          <w:rStyle w:val="normaltextrun"/>
          <w:rFonts w:ascii="Calibri" w:hAnsi="Calibri" w:cs="Calibri"/>
          <w:sz w:val="24"/>
          <w:szCs w:val="24"/>
        </w:rPr>
        <w:t xml:space="preserve">Emissions associated with </w:t>
      </w:r>
      <w:r w:rsidR="00E03192" w:rsidRPr="00CC77E0">
        <w:rPr>
          <w:rStyle w:val="normaltextrun"/>
          <w:rFonts w:ascii="Calibri" w:hAnsi="Calibri" w:cs="Calibri"/>
          <w:sz w:val="24"/>
          <w:szCs w:val="24"/>
        </w:rPr>
        <w:t>p</w:t>
      </w:r>
      <w:r w:rsidRPr="00CC77E0">
        <w:rPr>
          <w:rStyle w:val="normaltextrun"/>
          <w:rFonts w:ascii="Calibri" w:hAnsi="Calibri" w:cs="Calibri"/>
          <w:sz w:val="24"/>
          <w:szCs w:val="24"/>
        </w:rPr>
        <w:t xml:space="preserve">urchased goods and services (based purely on spend data) have reduced by </w:t>
      </w:r>
      <w:r w:rsidR="002C25C8">
        <w:rPr>
          <w:rStyle w:val="normaltextrun"/>
          <w:rFonts w:ascii="Calibri" w:hAnsi="Calibri" w:cs="Calibri"/>
          <w:sz w:val="24"/>
          <w:szCs w:val="24"/>
        </w:rPr>
        <w:t>77</w:t>
      </w:r>
      <w:r w:rsidRPr="00CC77E0">
        <w:rPr>
          <w:rStyle w:val="normaltextrun"/>
          <w:rFonts w:ascii="Calibri" w:hAnsi="Calibri" w:cs="Calibri"/>
          <w:sz w:val="24"/>
          <w:szCs w:val="24"/>
        </w:rPr>
        <w:t>% since our base year.</w:t>
      </w:r>
      <w:r w:rsidR="001A5B26" w:rsidRPr="00CC77E0">
        <w:rPr>
          <w:rStyle w:val="normaltextrun"/>
          <w:rFonts w:ascii="Calibri" w:hAnsi="Calibri" w:cs="Calibri"/>
          <w:sz w:val="24"/>
          <w:szCs w:val="24"/>
        </w:rPr>
        <w:t xml:space="preserve"> Although</w:t>
      </w:r>
      <w:r w:rsidR="00697F4B" w:rsidRPr="00CC77E0">
        <w:rPr>
          <w:rStyle w:val="normaltextrun"/>
          <w:rFonts w:ascii="Calibri" w:hAnsi="Calibri" w:cs="Calibri"/>
          <w:sz w:val="24"/>
          <w:szCs w:val="24"/>
        </w:rPr>
        <w:t xml:space="preserve"> these emissions are not part of our net zero 2030/31 ambition, we have added additional targets to our Net Zero strategy this year, specifically an aim to reduce supply chain emissions by 30% by 2030.</w:t>
      </w:r>
      <w:r w:rsidR="001A5B26" w:rsidRPr="00CC77E0">
        <w:rPr>
          <w:rStyle w:val="normaltextrun"/>
          <w:rFonts w:ascii="Calibri" w:hAnsi="Calibri" w:cs="Calibri"/>
          <w:sz w:val="24"/>
          <w:szCs w:val="24"/>
        </w:rPr>
        <w:t xml:space="preserve"> Whilst we have met this goal, this is now our second year utilising the Welsh Government’s SIC code-based accounting method to measure supply chain emissions, whereas we used to use the HESCET tool. It is widely recognised that using spend data to quantify emissions from the supply chain in an inaccurate and crude approach. However, due to a lack of alternatives, this approach is useful to better understand priority areas to decarbonise in supply chain emissions.</w:t>
      </w:r>
    </w:p>
    <w:p w14:paraId="7992A8C9" w14:textId="77777777" w:rsidR="00941511" w:rsidRPr="00807C92" w:rsidRDefault="00941511" w:rsidP="006465A4">
      <w:pPr>
        <w:jc w:val="both"/>
        <w:rPr>
          <w:rFonts w:asciiTheme="minorHAnsi" w:hAnsiTheme="minorHAnsi" w:cstheme="minorHAnsi"/>
          <w:i/>
          <w:iCs/>
        </w:rPr>
      </w:pPr>
    </w:p>
    <w:p w14:paraId="775DFF0C" w14:textId="77777777" w:rsidR="00351CD8" w:rsidRPr="00CC77E0" w:rsidRDefault="00351CD8" w:rsidP="006465A4">
      <w:pPr>
        <w:jc w:val="both"/>
        <w:rPr>
          <w:rFonts w:asciiTheme="minorHAnsi" w:hAnsiTheme="minorHAnsi" w:cstheme="minorHAnsi"/>
        </w:rPr>
      </w:pPr>
    </w:p>
    <w:p w14:paraId="3559B6BF" w14:textId="59F76EC8" w:rsidR="00E165B2" w:rsidRPr="00CC77E0" w:rsidRDefault="00A46594" w:rsidP="00A46594">
      <w:pPr>
        <w:pStyle w:val="ListParagraph"/>
        <w:numPr>
          <w:ilvl w:val="0"/>
          <w:numId w:val="2"/>
        </w:numPr>
        <w:jc w:val="both"/>
        <w:rPr>
          <w:rFonts w:asciiTheme="minorHAnsi" w:hAnsiTheme="minorHAnsi" w:cstheme="minorHAnsi"/>
          <w:b/>
          <w:sz w:val="24"/>
          <w:szCs w:val="24"/>
          <w:u w:val="single"/>
        </w:rPr>
      </w:pPr>
      <w:r w:rsidRPr="00CC77E0">
        <w:rPr>
          <w:rFonts w:asciiTheme="minorHAnsi" w:hAnsiTheme="minorHAnsi" w:cstheme="minorHAnsi"/>
          <w:b/>
          <w:sz w:val="24"/>
          <w:szCs w:val="24"/>
          <w:u w:val="single"/>
        </w:rPr>
        <w:lastRenderedPageBreak/>
        <w:t>Performance Against Net Zero KPIs</w:t>
      </w:r>
    </w:p>
    <w:p w14:paraId="381C6099" w14:textId="4DD3AB38" w:rsidR="00A46594" w:rsidRPr="00CC77E0" w:rsidRDefault="00243CE0" w:rsidP="00A46594">
      <w:pPr>
        <w:jc w:val="both"/>
        <w:rPr>
          <w:rFonts w:asciiTheme="minorHAnsi" w:hAnsiTheme="minorHAnsi" w:cstheme="minorHAnsi"/>
          <w:bCs/>
          <w:sz w:val="24"/>
          <w:szCs w:val="24"/>
        </w:rPr>
      </w:pPr>
      <w:r w:rsidRPr="00CC77E0">
        <w:rPr>
          <w:rFonts w:asciiTheme="minorHAnsi" w:hAnsiTheme="minorHAnsi" w:cstheme="minorHAnsi"/>
          <w:bCs/>
          <w:sz w:val="24"/>
          <w:szCs w:val="24"/>
        </w:rPr>
        <w:t xml:space="preserve">We have monitored our progress against each of our targets specified within the Net Zero strategy and summarised the results below, as well the likelihood of achieving these goals by 2030, with red meaning we are off target, </w:t>
      </w:r>
      <w:r w:rsidR="00536F62" w:rsidRPr="00CC77E0">
        <w:rPr>
          <w:rFonts w:asciiTheme="minorHAnsi" w:hAnsiTheme="minorHAnsi" w:cstheme="minorHAnsi"/>
          <w:bCs/>
          <w:sz w:val="24"/>
          <w:szCs w:val="24"/>
        </w:rPr>
        <w:t xml:space="preserve">yellow possible to achieve and green very likely/already achieved. </w:t>
      </w:r>
    </w:p>
    <w:p w14:paraId="65628240" w14:textId="3000005D" w:rsidR="00A46594" w:rsidRDefault="00A46594" w:rsidP="00A46594">
      <w:pPr>
        <w:jc w:val="both"/>
        <w:rPr>
          <w:rFonts w:asciiTheme="minorHAnsi" w:hAnsiTheme="minorHAnsi" w:cstheme="minorHAnsi"/>
          <w:bCs/>
          <w:sz w:val="24"/>
          <w:szCs w:val="24"/>
          <w:u w:val="single"/>
        </w:rPr>
      </w:pPr>
    </w:p>
    <w:tbl>
      <w:tblPr>
        <w:tblStyle w:val="TableGrid"/>
        <w:tblW w:w="0" w:type="auto"/>
        <w:tblLook w:val="04A0" w:firstRow="1" w:lastRow="0" w:firstColumn="1" w:lastColumn="0" w:noHBand="0" w:noVBand="1"/>
      </w:tblPr>
      <w:tblGrid>
        <w:gridCol w:w="2845"/>
        <w:gridCol w:w="3013"/>
        <w:gridCol w:w="2554"/>
        <w:gridCol w:w="1216"/>
      </w:tblGrid>
      <w:tr w:rsidR="00536F62" w14:paraId="342AC9E1" w14:textId="77777777" w:rsidTr="0011372F">
        <w:tc>
          <w:tcPr>
            <w:tcW w:w="1838" w:type="dxa"/>
          </w:tcPr>
          <w:p w14:paraId="2809AC8C" w14:textId="77777777" w:rsidR="00536F62" w:rsidRPr="00536F62" w:rsidRDefault="00536F62" w:rsidP="0011372F">
            <w:pPr>
              <w:rPr>
                <w:rFonts w:asciiTheme="minorHAnsi" w:hAnsiTheme="minorHAnsi" w:cstheme="minorHAnsi"/>
                <w:b/>
                <w:bCs/>
              </w:rPr>
            </w:pPr>
            <w:r w:rsidRPr="00536F62">
              <w:rPr>
                <w:rFonts w:asciiTheme="minorHAnsi" w:hAnsiTheme="minorHAnsi" w:cstheme="minorHAnsi"/>
                <w:b/>
                <w:bCs/>
              </w:rPr>
              <w:t>Target</w:t>
            </w:r>
          </w:p>
        </w:tc>
        <w:tc>
          <w:tcPr>
            <w:tcW w:w="3222" w:type="dxa"/>
          </w:tcPr>
          <w:p w14:paraId="162D3FFE" w14:textId="0649DFCA" w:rsidR="00536F62" w:rsidRPr="00536F62" w:rsidRDefault="00AB2FB9" w:rsidP="0011372F">
            <w:pPr>
              <w:rPr>
                <w:rFonts w:asciiTheme="minorHAnsi" w:hAnsiTheme="minorHAnsi" w:cstheme="minorHAnsi"/>
                <w:b/>
                <w:bCs/>
              </w:rPr>
            </w:pPr>
            <w:r>
              <w:rPr>
                <w:rFonts w:asciiTheme="minorHAnsi" w:hAnsiTheme="minorHAnsi" w:cstheme="minorHAnsi"/>
                <w:b/>
                <w:bCs/>
              </w:rPr>
              <w:t>2030 Target</w:t>
            </w:r>
          </w:p>
        </w:tc>
        <w:tc>
          <w:tcPr>
            <w:tcW w:w="2732" w:type="dxa"/>
          </w:tcPr>
          <w:p w14:paraId="60FCB18A" w14:textId="77777777" w:rsidR="00536F62" w:rsidRPr="00536F62" w:rsidRDefault="00536F62" w:rsidP="0011372F">
            <w:pPr>
              <w:rPr>
                <w:rFonts w:asciiTheme="minorHAnsi" w:hAnsiTheme="minorHAnsi" w:cstheme="minorHAnsi"/>
                <w:b/>
                <w:bCs/>
              </w:rPr>
            </w:pPr>
            <w:r w:rsidRPr="00536F62">
              <w:rPr>
                <w:rFonts w:asciiTheme="minorHAnsi" w:hAnsiTheme="minorHAnsi" w:cstheme="minorHAnsi"/>
                <w:b/>
                <w:bCs/>
              </w:rPr>
              <w:t>Progress</w:t>
            </w:r>
          </w:p>
        </w:tc>
        <w:tc>
          <w:tcPr>
            <w:tcW w:w="1224" w:type="dxa"/>
          </w:tcPr>
          <w:p w14:paraId="5933D2CC" w14:textId="77777777" w:rsidR="00536F62" w:rsidRPr="00536F62" w:rsidRDefault="00536F62" w:rsidP="0011372F">
            <w:pPr>
              <w:rPr>
                <w:rFonts w:asciiTheme="minorHAnsi" w:hAnsiTheme="minorHAnsi" w:cstheme="minorHAnsi"/>
                <w:b/>
                <w:bCs/>
              </w:rPr>
            </w:pPr>
            <w:r w:rsidRPr="00536F62">
              <w:rPr>
                <w:rFonts w:asciiTheme="minorHAnsi" w:hAnsiTheme="minorHAnsi" w:cstheme="minorHAnsi"/>
                <w:b/>
                <w:bCs/>
              </w:rPr>
              <w:t>Likelihood</w:t>
            </w:r>
          </w:p>
        </w:tc>
      </w:tr>
      <w:tr w:rsidR="00536F62" w14:paraId="1EF06016" w14:textId="77777777" w:rsidTr="0011372F">
        <w:tc>
          <w:tcPr>
            <w:tcW w:w="1838" w:type="dxa"/>
          </w:tcPr>
          <w:p w14:paraId="688F9A8C" w14:textId="77777777" w:rsidR="00536F62" w:rsidRPr="00536F62" w:rsidRDefault="00536F62" w:rsidP="0011372F">
            <w:pPr>
              <w:rPr>
                <w:rFonts w:asciiTheme="minorHAnsi" w:hAnsiTheme="minorHAnsi" w:cstheme="minorHAnsi"/>
                <w:b/>
                <w:bCs/>
              </w:rPr>
            </w:pPr>
            <w:r w:rsidRPr="00536F62">
              <w:rPr>
                <w:rFonts w:asciiTheme="minorHAnsi" w:hAnsiTheme="minorHAnsi" w:cstheme="minorHAnsi"/>
                <w:b/>
                <w:bCs/>
              </w:rPr>
              <w:t>Renewables</w:t>
            </w:r>
          </w:p>
        </w:tc>
        <w:tc>
          <w:tcPr>
            <w:tcW w:w="3222" w:type="dxa"/>
          </w:tcPr>
          <w:p w14:paraId="6828D695" w14:textId="20009119" w:rsidR="00536F62" w:rsidRPr="00536F62" w:rsidRDefault="00536F62" w:rsidP="0011372F">
            <w:pPr>
              <w:rPr>
                <w:rFonts w:asciiTheme="minorHAnsi" w:hAnsiTheme="minorHAnsi" w:cstheme="minorHAnsi"/>
              </w:rPr>
            </w:pPr>
            <w:r w:rsidRPr="00536F62">
              <w:rPr>
                <w:rFonts w:asciiTheme="minorHAnsi" w:hAnsiTheme="minorHAnsi" w:cstheme="minorHAnsi"/>
              </w:rPr>
              <w:t xml:space="preserve">25% </w:t>
            </w:r>
            <w:r w:rsidR="00AB2FB9">
              <w:rPr>
                <w:rFonts w:asciiTheme="minorHAnsi" w:hAnsiTheme="minorHAnsi" w:cstheme="minorHAnsi"/>
              </w:rPr>
              <w:t xml:space="preserve">of our electricity to come </w:t>
            </w:r>
            <w:r w:rsidRPr="00536F62">
              <w:rPr>
                <w:rFonts w:asciiTheme="minorHAnsi" w:hAnsiTheme="minorHAnsi" w:cstheme="minorHAnsi"/>
              </w:rPr>
              <w:t xml:space="preserve">from </w:t>
            </w:r>
            <w:r w:rsidR="00AB2FB9">
              <w:rPr>
                <w:rFonts w:asciiTheme="minorHAnsi" w:hAnsiTheme="minorHAnsi" w:cstheme="minorHAnsi"/>
              </w:rPr>
              <w:t xml:space="preserve">on-site </w:t>
            </w:r>
            <w:r w:rsidRPr="00536F62">
              <w:rPr>
                <w:rFonts w:asciiTheme="minorHAnsi" w:hAnsiTheme="minorHAnsi" w:cstheme="minorHAnsi"/>
              </w:rPr>
              <w:t xml:space="preserve">renewable </w:t>
            </w:r>
            <w:r w:rsidR="00AB2FB9">
              <w:rPr>
                <w:rFonts w:asciiTheme="minorHAnsi" w:hAnsiTheme="minorHAnsi" w:cstheme="minorHAnsi"/>
              </w:rPr>
              <w:t>generation</w:t>
            </w:r>
          </w:p>
        </w:tc>
        <w:tc>
          <w:tcPr>
            <w:tcW w:w="2732" w:type="dxa"/>
          </w:tcPr>
          <w:p w14:paraId="01BCF749" w14:textId="01BF5A39" w:rsidR="00536F62" w:rsidRPr="00536F62" w:rsidRDefault="00AB2FB9" w:rsidP="0011372F">
            <w:pPr>
              <w:rPr>
                <w:rFonts w:asciiTheme="minorHAnsi" w:hAnsiTheme="minorHAnsi" w:cstheme="minorHAnsi"/>
              </w:rPr>
            </w:pPr>
            <w:r>
              <w:rPr>
                <w:rFonts w:asciiTheme="minorHAnsi" w:hAnsiTheme="minorHAnsi" w:cstheme="minorHAnsi"/>
              </w:rPr>
              <w:t>Currently</w:t>
            </w:r>
            <w:r w:rsidR="004876B8">
              <w:rPr>
                <w:rFonts w:asciiTheme="minorHAnsi" w:hAnsiTheme="minorHAnsi" w:cstheme="minorHAnsi"/>
              </w:rPr>
              <w:t xml:space="preserve"> </w:t>
            </w:r>
            <w:r w:rsidR="00536F62" w:rsidRPr="00536F62">
              <w:rPr>
                <w:rFonts w:asciiTheme="minorHAnsi" w:hAnsiTheme="minorHAnsi" w:cstheme="minorHAnsi"/>
              </w:rPr>
              <w:t>12% from renewable</w:t>
            </w:r>
            <w:r w:rsidR="00536F62">
              <w:rPr>
                <w:rFonts w:asciiTheme="minorHAnsi" w:hAnsiTheme="minorHAnsi" w:cstheme="minorHAnsi"/>
              </w:rPr>
              <w:t xml:space="preserve"> sources</w:t>
            </w:r>
          </w:p>
        </w:tc>
        <w:tc>
          <w:tcPr>
            <w:tcW w:w="1224" w:type="dxa"/>
            <w:shd w:val="clear" w:color="auto" w:fill="C5E0B3" w:themeFill="accent6" w:themeFillTint="66"/>
          </w:tcPr>
          <w:p w14:paraId="4967673D" w14:textId="77777777" w:rsidR="00536F62" w:rsidRDefault="00536F62" w:rsidP="0011372F"/>
        </w:tc>
      </w:tr>
      <w:tr w:rsidR="00536F62" w14:paraId="3862566C" w14:textId="77777777" w:rsidTr="00341FF4">
        <w:tc>
          <w:tcPr>
            <w:tcW w:w="1838" w:type="dxa"/>
          </w:tcPr>
          <w:p w14:paraId="06A2FD12" w14:textId="77777777" w:rsidR="00536F62" w:rsidRPr="00536F62" w:rsidRDefault="00536F62" w:rsidP="0011372F">
            <w:pPr>
              <w:rPr>
                <w:rFonts w:asciiTheme="minorHAnsi" w:hAnsiTheme="minorHAnsi" w:cstheme="minorHAnsi"/>
                <w:b/>
                <w:bCs/>
              </w:rPr>
            </w:pPr>
            <w:r w:rsidRPr="00536F62">
              <w:rPr>
                <w:rFonts w:asciiTheme="minorHAnsi" w:hAnsiTheme="minorHAnsi" w:cstheme="minorHAnsi"/>
                <w:b/>
                <w:bCs/>
              </w:rPr>
              <w:t>Decarbonise Heat</w:t>
            </w:r>
          </w:p>
        </w:tc>
        <w:tc>
          <w:tcPr>
            <w:tcW w:w="3222" w:type="dxa"/>
          </w:tcPr>
          <w:p w14:paraId="35D33D2F" w14:textId="77777777" w:rsidR="00536F62" w:rsidRPr="00536F62" w:rsidRDefault="00536F62" w:rsidP="0011372F">
            <w:pPr>
              <w:rPr>
                <w:rFonts w:asciiTheme="minorHAnsi" w:hAnsiTheme="minorHAnsi" w:cstheme="minorHAnsi"/>
              </w:rPr>
            </w:pPr>
            <w:r w:rsidRPr="00536F62">
              <w:rPr>
                <w:rFonts w:asciiTheme="minorHAnsi" w:hAnsiTheme="minorHAnsi" w:cstheme="minorHAnsi"/>
              </w:rPr>
              <w:t>85% annual gas demand from renewable sources</w:t>
            </w:r>
          </w:p>
        </w:tc>
        <w:tc>
          <w:tcPr>
            <w:tcW w:w="2732" w:type="dxa"/>
          </w:tcPr>
          <w:p w14:paraId="03DEFCE9" w14:textId="11EDA00A" w:rsidR="00536F62" w:rsidRPr="00536F62" w:rsidRDefault="00AB2FB9" w:rsidP="0011372F">
            <w:pPr>
              <w:rPr>
                <w:rFonts w:asciiTheme="minorHAnsi" w:hAnsiTheme="minorHAnsi" w:cstheme="minorHAnsi"/>
              </w:rPr>
            </w:pPr>
            <w:r>
              <w:rPr>
                <w:rFonts w:asciiTheme="minorHAnsi" w:hAnsiTheme="minorHAnsi" w:cstheme="minorHAnsi"/>
              </w:rPr>
              <w:t xml:space="preserve">Limited - </w:t>
            </w:r>
            <w:r w:rsidR="00536F62" w:rsidRPr="00536F62">
              <w:rPr>
                <w:rFonts w:asciiTheme="minorHAnsi" w:hAnsiTheme="minorHAnsi" w:cstheme="minorHAnsi"/>
              </w:rPr>
              <w:t>external funding</w:t>
            </w:r>
            <w:r w:rsidR="00A77F7A">
              <w:rPr>
                <w:rFonts w:asciiTheme="minorHAnsi" w:hAnsiTheme="minorHAnsi" w:cstheme="minorHAnsi"/>
              </w:rPr>
              <w:t xml:space="preserve"> </w:t>
            </w:r>
            <w:r>
              <w:rPr>
                <w:rFonts w:asciiTheme="minorHAnsi" w:hAnsiTheme="minorHAnsi" w:cstheme="minorHAnsi"/>
              </w:rPr>
              <w:t>support &amp; high capital costs</w:t>
            </w:r>
          </w:p>
        </w:tc>
        <w:tc>
          <w:tcPr>
            <w:tcW w:w="1224" w:type="dxa"/>
            <w:shd w:val="clear" w:color="auto" w:fill="FF0000"/>
          </w:tcPr>
          <w:p w14:paraId="1C99190A" w14:textId="77777777" w:rsidR="00536F62" w:rsidRDefault="00536F62" w:rsidP="0011372F"/>
        </w:tc>
      </w:tr>
      <w:tr w:rsidR="00536F62" w14:paraId="60A13234" w14:textId="77777777" w:rsidTr="0011372F">
        <w:tc>
          <w:tcPr>
            <w:tcW w:w="1838" w:type="dxa"/>
          </w:tcPr>
          <w:p w14:paraId="2F9A3325" w14:textId="77777777" w:rsidR="00536F62" w:rsidRPr="00536F62" w:rsidRDefault="00536F62" w:rsidP="0011372F">
            <w:pPr>
              <w:rPr>
                <w:rFonts w:asciiTheme="minorHAnsi" w:hAnsiTheme="minorHAnsi" w:cstheme="minorHAnsi"/>
                <w:b/>
                <w:bCs/>
              </w:rPr>
            </w:pPr>
            <w:r w:rsidRPr="00536F62">
              <w:rPr>
                <w:rFonts w:asciiTheme="minorHAnsi" w:hAnsiTheme="minorHAnsi" w:cstheme="minorHAnsi"/>
                <w:b/>
                <w:bCs/>
              </w:rPr>
              <w:t>Energy Efficiency</w:t>
            </w:r>
          </w:p>
        </w:tc>
        <w:tc>
          <w:tcPr>
            <w:tcW w:w="3222" w:type="dxa"/>
          </w:tcPr>
          <w:p w14:paraId="49A8D7F9" w14:textId="77777777" w:rsidR="00536F62" w:rsidRPr="00536F62" w:rsidRDefault="00536F62" w:rsidP="0011372F">
            <w:pPr>
              <w:rPr>
                <w:rFonts w:asciiTheme="minorHAnsi" w:hAnsiTheme="minorHAnsi" w:cstheme="minorHAnsi"/>
              </w:rPr>
            </w:pPr>
            <w:r w:rsidRPr="00536F62">
              <w:rPr>
                <w:rFonts w:asciiTheme="minorHAnsi" w:hAnsiTheme="minorHAnsi" w:cstheme="minorHAnsi"/>
              </w:rPr>
              <w:t xml:space="preserve">15% reduction in total energy demand </w:t>
            </w:r>
          </w:p>
        </w:tc>
        <w:tc>
          <w:tcPr>
            <w:tcW w:w="2732" w:type="dxa"/>
          </w:tcPr>
          <w:p w14:paraId="6D725ADF" w14:textId="77777777" w:rsidR="00536F62" w:rsidRPr="00536F62" w:rsidRDefault="00536F62" w:rsidP="0011372F">
            <w:pPr>
              <w:rPr>
                <w:rFonts w:asciiTheme="minorHAnsi" w:hAnsiTheme="minorHAnsi" w:cstheme="minorHAnsi"/>
              </w:rPr>
            </w:pPr>
            <w:r w:rsidRPr="00536F62">
              <w:rPr>
                <w:rFonts w:asciiTheme="minorHAnsi" w:hAnsiTheme="minorHAnsi" w:cstheme="minorHAnsi"/>
              </w:rPr>
              <w:t>24% reduction</w:t>
            </w:r>
          </w:p>
        </w:tc>
        <w:tc>
          <w:tcPr>
            <w:tcW w:w="1224" w:type="dxa"/>
            <w:shd w:val="clear" w:color="auto" w:fill="C5E0B3" w:themeFill="accent6" w:themeFillTint="66"/>
          </w:tcPr>
          <w:p w14:paraId="57152109" w14:textId="77777777" w:rsidR="00536F62" w:rsidRDefault="00536F62" w:rsidP="0011372F"/>
        </w:tc>
      </w:tr>
      <w:tr w:rsidR="00536F62" w14:paraId="6C216061" w14:textId="77777777" w:rsidTr="0011372F">
        <w:tc>
          <w:tcPr>
            <w:tcW w:w="1838" w:type="dxa"/>
          </w:tcPr>
          <w:p w14:paraId="230FF03A" w14:textId="77777777" w:rsidR="00536F62" w:rsidRPr="00536F62" w:rsidRDefault="00536F62" w:rsidP="0011372F">
            <w:pPr>
              <w:rPr>
                <w:rFonts w:asciiTheme="minorHAnsi" w:hAnsiTheme="minorHAnsi" w:cstheme="minorHAnsi"/>
                <w:b/>
                <w:bCs/>
              </w:rPr>
            </w:pPr>
            <w:r w:rsidRPr="00536F62">
              <w:rPr>
                <w:rFonts w:asciiTheme="minorHAnsi" w:hAnsiTheme="minorHAnsi" w:cstheme="minorHAnsi"/>
                <w:b/>
                <w:bCs/>
              </w:rPr>
              <w:t>Construction/Refurbishment</w:t>
            </w:r>
          </w:p>
        </w:tc>
        <w:tc>
          <w:tcPr>
            <w:tcW w:w="3222" w:type="dxa"/>
          </w:tcPr>
          <w:p w14:paraId="357F93CC" w14:textId="77777777" w:rsidR="00536F62" w:rsidRPr="00536F62" w:rsidRDefault="00536F62" w:rsidP="0011372F">
            <w:pPr>
              <w:rPr>
                <w:rFonts w:asciiTheme="minorHAnsi" w:hAnsiTheme="minorHAnsi" w:cstheme="minorHAnsi"/>
              </w:rPr>
            </w:pPr>
            <w:r w:rsidRPr="00536F62">
              <w:rPr>
                <w:rFonts w:asciiTheme="minorHAnsi" w:hAnsiTheme="minorHAnsi" w:cstheme="minorHAnsi"/>
              </w:rPr>
              <w:t>Stringent standards for all new builds and refurbishments</w:t>
            </w:r>
          </w:p>
        </w:tc>
        <w:tc>
          <w:tcPr>
            <w:tcW w:w="2732" w:type="dxa"/>
          </w:tcPr>
          <w:p w14:paraId="7A55D1D2" w14:textId="77777777" w:rsidR="00536F62" w:rsidRPr="00536F62" w:rsidRDefault="00536F62" w:rsidP="0011372F">
            <w:pPr>
              <w:rPr>
                <w:rFonts w:asciiTheme="minorHAnsi" w:hAnsiTheme="minorHAnsi" w:cstheme="minorHAnsi"/>
              </w:rPr>
            </w:pPr>
            <w:r w:rsidRPr="00536F62">
              <w:rPr>
                <w:rFonts w:asciiTheme="minorHAnsi" w:hAnsiTheme="minorHAnsi" w:cstheme="minorHAnsi"/>
              </w:rPr>
              <w:t>Checklist developed for major projects</w:t>
            </w:r>
          </w:p>
        </w:tc>
        <w:tc>
          <w:tcPr>
            <w:tcW w:w="1224" w:type="dxa"/>
            <w:shd w:val="clear" w:color="auto" w:fill="FFFF00"/>
          </w:tcPr>
          <w:p w14:paraId="495F67E4" w14:textId="77777777" w:rsidR="00536F62" w:rsidRDefault="00536F62" w:rsidP="0011372F"/>
        </w:tc>
      </w:tr>
      <w:tr w:rsidR="00536F62" w14:paraId="2CA739E2" w14:textId="77777777" w:rsidTr="0011372F">
        <w:tc>
          <w:tcPr>
            <w:tcW w:w="1838" w:type="dxa"/>
          </w:tcPr>
          <w:p w14:paraId="577B5F2D" w14:textId="77777777" w:rsidR="00536F62" w:rsidRPr="00536F62" w:rsidRDefault="00536F62" w:rsidP="0011372F">
            <w:pPr>
              <w:rPr>
                <w:rFonts w:asciiTheme="minorHAnsi" w:hAnsiTheme="minorHAnsi" w:cstheme="minorHAnsi"/>
                <w:b/>
                <w:bCs/>
              </w:rPr>
            </w:pPr>
            <w:r w:rsidRPr="00536F62">
              <w:rPr>
                <w:rFonts w:asciiTheme="minorHAnsi" w:hAnsiTheme="minorHAnsi" w:cstheme="minorHAnsi"/>
                <w:b/>
                <w:bCs/>
              </w:rPr>
              <w:t>Travel</w:t>
            </w:r>
          </w:p>
        </w:tc>
        <w:tc>
          <w:tcPr>
            <w:tcW w:w="3222" w:type="dxa"/>
          </w:tcPr>
          <w:p w14:paraId="32FF1797" w14:textId="77777777" w:rsidR="00536F62" w:rsidRPr="00536F62" w:rsidRDefault="00536F62" w:rsidP="0011372F">
            <w:pPr>
              <w:rPr>
                <w:rFonts w:asciiTheme="minorHAnsi" w:hAnsiTheme="minorHAnsi" w:cstheme="minorHAnsi"/>
              </w:rPr>
            </w:pPr>
            <w:r w:rsidRPr="00536F62">
              <w:rPr>
                <w:rFonts w:asciiTheme="minorHAnsi" w:hAnsiTheme="minorHAnsi" w:cstheme="minorHAnsi"/>
              </w:rPr>
              <w:t>54% reduction in travel emissions</w:t>
            </w:r>
          </w:p>
        </w:tc>
        <w:tc>
          <w:tcPr>
            <w:tcW w:w="2732" w:type="dxa"/>
          </w:tcPr>
          <w:p w14:paraId="7F38D850" w14:textId="77777777" w:rsidR="00536F62" w:rsidRPr="00536F62" w:rsidRDefault="00536F62" w:rsidP="0011372F">
            <w:pPr>
              <w:rPr>
                <w:rFonts w:asciiTheme="minorHAnsi" w:hAnsiTheme="minorHAnsi" w:cstheme="minorHAnsi"/>
              </w:rPr>
            </w:pPr>
            <w:r w:rsidRPr="00536F62">
              <w:rPr>
                <w:rFonts w:asciiTheme="minorHAnsi" w:hAnsiTheme="minorHAnsi" w:cstheme="minorHAnsi"/>
              </w:rPr>
              <w:t>70% reduction</w:t>
            </w:r>
          </w:p>
        </w:tc>
        <w:tc>
          <w:tcPr>
            <w:tcW w:w="1224" w:type="dxa"/>
            <w:shd w:val="clear" w:color="auto" w:fill="C5E0B3" w:themeFill="accent6" w:themeFillTint="66"/>
          </w:tcPr>
          <w:p w14:paraId="42CF7ACF" w14:textId="77777777" w:rsidR="00536F62" w:rsidRDefault="00536F62" w:rsidP="0011372F"/>
        </w:tc>
      </w:tr>
      <w:tr w:rsidR="00536F62" w14:paraId="3A1C49F7" w14:textId="77777777" w:rsidTr="00AB2FB9">
        <w:tc>
          <w:tcPr>
            <w:tcW w:w="1838" w:type="dxa"/>
          </w:tcPr>
          <w:p w14:paraId="26644F0C" w14:textId="77777777" w:rsidR="00536F62" w:rsidRPr="00536F62" w:rsidRDefault="00536F62" w:rsidP="0011372F">
            <w:pPr>
              <w:rPr>
                <w:rFonts w:asciiTheme="minorHAnsi" w:hAnsiTheme="minorHAnsi" w:cstheme="minorHAnsi"/>
                <w:b/>
                <w:bCs/>
              </w:rPr>
            </w:pPr>
            <w:r w:rsidRPr="00536F62">
              <w:rPr>
                <w:rFonts w:asciiTheme="minorHAnsi" w:hAnsiTheme="minorHAnsi" w:cstheme="minorHAnsi"/>
                <w:b/>
                <w:bCs/>
              </w:rPr>
              <w:t>Waste</w:t>
            </w:r>
          </w:p>
        </w:tc>
        <w:tc>
          <w:tcPr>
            <w:tcW w:w="3222" w:type="dxa"/>
          </w:tcPr>
          <w:p w14:paraId="71393ED2" w14:textId="77777777" w:rsidR="00536F62" w:rsidRPr="00536F62" w:rsidRDefault="00536F62" w:rsidP="0011372F">
            <w:pPr>
              <w:rPr>
                <w:rFonts w:asciiTheme="minorHAnsi" w:hAnsiTheme="minorHAnsi" w:cstheme="minorHAnsi"/>
              </w:rPr>
            </w:pPr>
            <w:r w:rsidRPr="00536F62">
              <w:rPr>
                <w:rFonts w:asciiTheme="minorHAnsi" w:hAnsiTheme="minorHAnsi" w:cstheme="minorHAnsi"/>
              </w:rPr>
              <w:t>35% reduction in DR waste</w:t>
            </w:r>
          </w:p>
        </w:tc>
        <w:tc>
          <w:tcPr>
            <w:tcW w:w="2732" w:type="dxa"/>
          </w:tcPr>
          <w:p w14:paraId="3C2BF8B9" w14:textId="7012892E" w:rsidR="00536F62" w:rsidRPr="00536F62" w:rsidRDefault="00536F62" w:rsidP="0011372F">
            <w:pPr>
              <w:rPr>
                <w:rFonts w:asciiTheme="minorHAnsi" w:hAnsiTheme="minorHAnsi" w:cstheme="minorHAnsi"/>
              </w:rPr>
            </w:pPr>
            <w:r w:rsidRPr="00536F62">
              <w:rPr>
                <w:rFonts w:asciiTheme="minorHAnsi" w:hAnsiTheme="minorHAnsi" w:cstheme="minorHAnsi"/>
              </w:rPr>
              <w:t>5</w:t>
            </w:r>
            <w:r w:rsidR="0079123E">
              <w:rPr>
                <w:rFonts w:asciiTheme="minorHAnsi" w:hAnsiTheme="minorHAnsi" w:cstheme="minorHAnsi"/>
              </w:rPr>
              <w:t>4</w:t>
            </w:r>
            <w:r w:rsidRPr="00536F62">
              <w:rPr>
                <w:rFonts w:asciiTheme="minorHAnsi" w:hAnsiTheme="minorHAnsi" w:cstheme="minorHAnsi"/>
              </w:rPr>
              <w:t>% increase</w:t>
            </w:r>
          </w:p>
        </w:tc>
        <w:tc>
          <w:tcPr>
            <w:tcW w:w="1224" w:type="dxa"/>
            <w:shd w:val="clear" w:color="auto" w:fill="FF0000"/>
          </w:tcPr>
          <w:p w14:paraId="7DF1A38D" w14:textId="77777777" w:rsidR="00536F62" w:rsidRDefault="00536F62" w:rsidP="0011372F"/>
        </w:tc>
      </w:tr>
      <w:tr w:rsidR="00536F62" w14:paraId="39C91BB6" w14:textId="77777777" w:rsidTr="0011372F">
        <w:tc>
          <w:tcPr>
            <w:tcW w:w="1838" w:type="dxa"/>
          </w:tcPr>
          <w:p w14:paraId="6A4E5861" w14:textId="77777777" w:rsidR="00536F62" w:rsidRPr="00536F62" w:rsidRDefault="00536F62" w:rsidP="0011372F">
            <w:pPr>
              <w:rPr>
                <w:rFonts w:asciiTheme="minorHAnsi" w:hAnsiTheme="minorHAnsi" w:cstheme="minorHAnsi"/>
                <w:b/>
                <w:bCs/>
              </w:rPr>
            </w:pPr>
            <w:r w:rsidRPr="00536F62">
              <w:rPr>
                <w:rFonts w:asciiTheme="minorHAnsi" w:hAnsiTheme="minorHAnsi" w:cstheme="minorHAnsi"/>
                <w:b/>
                <w:bCs/>
              </w:rPr>
              <w:t>Water</w:t>
            </w:r>
          </w:p>
        </w:tc>
        <w:tc>
          <w:tcPr>
            <w:tcW w:w="3222" w:type="dxa"/>
          </w:tcPr>
          <w:p w14:paraId="5AA15E4C" w14:textId="77777777" w:rsidR="00536F62" w:rsidRPr="00536F62" w:rsidRDefault="00536F62" w:rsidP="0011372F">
            <w:pPr>
              <w:rPr>
                <w:rFonts w:asciiTheme="minorHAnsi" w:hAnsiTheme="minorHAnsi" w:cstheme="minorHAnsi"/>
              </w:rPr>
            </w:pPr>
            <w:r w:rsidRPr="00536F62">
              <w:rPr>
                <w:rFonts w:asciiTheme="minorHAnsi" w:hAnsiTheme="minorHAnsi" w:cstheme="minorHAnsi"/>
              </w:rPr>
              <w:t>25% reduction in water consumption</w:t>
            </w:r>
          </w:p>
        </w:tc>
        <w:tc>
          <w:tcPr>
            <w:tcW w:w="2732" w:type="dxa"/>
          </w:tcPr>
          <w:p w14:paraId="7BAB7A60" w14:textId="77777777" w:rsidR="00536F62" w:rsidRPr="00536F62" w:rsidRDefault="00536F62" w:rsidP="0011372F">
            <w:pPr>
              <w:rPr>
                <w:rFonts w:asciiTheme="minorHAnsi" w:hAnsiTheme="minorHAnsi" w:cstheme="minorHAnsi"/>
              </w:rPr>
            </w:pPr>
            <w:r w:rsidRPr="00536F62">
              <w:rPr>
                <w:rFonts w:asciiTheme="minorHAnsi" w:hAnsiTheme="minorHAnsi" w:cstheme="minorHAnsi"/>
              </w:rPr>
              <w:t>77% reduction</w:t>
            </w:r>
          </w:p>
        </w:tc>
        <w:tc>
          <w:tcPr>
            <w:tcW w:w="1224" w:type="dxa"/>
            <w:shd w:val="clear" w:color="auto" w:fill="C5E0B3" w:themeFill="accent6" w:themeFillTint="66"/>
          </w:tcPr>
          <w:p w14:paraId="7C829CDF" w14:textId="77777777" w:rsidR="00536F62" w:rsidRDefault="00536F62" w:rsidP="0011372F"/>
        </w:tc>
      </w:tr>
      <w:tr w:rsidR="00536F62" w14:paraId="231A309C" w14:textId="77777777" w:rsidTr="0011372F">
        <w:tc>
          <w:tcPr>
            <w:tcW w:w="1838" w:type="dxa"/>
          </w:tcPr>
          <w:p w14:paraId="7338E2F7" w14:textId="77777777" w:rsidR="00536F62" w:rsidRPr="00536F62" w:rsidRDefault="00536F62" w:rsidP="0011372F">
            <w:pPr>
              <w:rPr>
                <w:rFonts w:asciiTheme="minorHAnsi" w:hAnsiTheme="minorHAnsi" w:cstheme="minorHAnsi"/>
                <w:b/>
                <w:bCs/>
              </w:rPr>
            </w:pPr>
            <w:r w:rsidRPr="00536F62">
              <w:rPr>
                <w:rFonts w:asciiTheme="minorHAnsi" w:hAnsiTheme="minorHAnsi" w:cstheme="minorHAnsi"/>
                <w:b/>
                <w:bCs/>
              </w:rPr>
              <w:t>Procurement</w:t>
            </w:r>
          </w:p>
        </w:tc>
        <w:tc>
          <w:tcPr>
            <w:tcW w:w="3222" w:type="dxa"/>
          </w:tcPr>
          <w:p w14:paraId="6868135E" w14:textId="77777777" w:rsidR="00536F62" w:rsidRPr="00536F62" w:rsidRDefault="00536F62" w:rsidP="0011372F">
            <w:pPr>
              <w:rPr>
                <w:rFonts w:asciiTheme="minorHAnsi" w:hAnsiTheme="minorHAnsi" w:cstheme="minorHAnsi"/>
              </w:rPr>
            </w:pPr>
            <w:r w:rsidRPr="00536F62">
              <w:rPr>
                <w:rFonts w:asciiTheme="minorHAnsi" w:hAnsiTheme="minorHAnsi" w:cstheme="minorHAnsi"/>
              </w:rPr>
              <w:t>30% reduction in supply chain emissions</w:t>
            </w:r>
          </w:p>
        </w:tc>
        <w:tc>
          <w:tcPr>
            <w:tcW w:w="2732" w:type="dxa"/>
          </w:tcPr>
          <w:p w14:paraId="7BBBDDE1" w14:textId="77777777" w:rsidR="00536F62" w:rsidRPr="00536F62" w:rsidRDefault="00536F62" w:rsidP="0011372F">
            <w:pPr>
              <w:rPr>
                <w:rFonts w:asciiTheme="minorHAnsi" w:hAnsiTheme="minorHAnsi" w:cstheme="minorHAnsi"/>
              </w:rPr>
            </w:pPr>
            <w:r w:rsidRPr="00536F62">
              <w:rPr>
                <w:rFonts w:asciiTheme="minorHAnsi" w:hAnsiTheme="minorHAnsi" w:cstheme="minorHAnsi"/>
              </w:rPr>
              <w:t>68% reduction</w:t>
            </w:r>
          </w:p>
        </w:tc>
        <w:tc>
          <w:tcPr>
            <w:tcW w:w="1224" w:type="dxa"/>
            <w:shd w:val="clear" w:color="auto" w:fill="C5E0B3" w:themeFill="accent6" w:themeFillTint="66"/>
          </w:tcPr>
          <w:p w14:paraId="713BEDAE" w14:textId="77777777" w:rsidR="00536F62" w:rsidRDefault="00536F62" w:rsidP="0011372F"/>
        </w:tc>
      </w:tr>
      <w:tr w:rsidR="00536F62" w14:paraId="0C406545" w14:textId="77777777" w:rsidTr="0011372F">
        <w:tc>
          <w:tcPr>
            <w:tcW w:w="1838" w:type="dxa"/>
          </w:tcPr>
          <w:p w14:paraId="3EC7A903" w14:textId="77777777" w:rsidR="00536F62" w:rsidRPr="00536F62" w:rsidRDefault="00536F62" w:rsidP="0011372F">
            <w:pPr>
              <w:rPr>
                <w:rFonts w:asciiTheme="minorHAnsi" w:hAnsiTheme="minorHAnsi" w:cstheme="minorHAnsi"/>
                <w:b/>
                <w:bCs/>
              </w:rPr>
            </w:pPr>
            <w:r w:rsidRPr="00536F62">
              <w:rPr>
                <w:rFonts w:asciiTheme="minorHAnsi" w:hAnsiTheme="minorHAnsi" w:cstheme="minorHAnsi"/>
                <w:b/>
                <w:bCs/>
              </w:rPr>
              <w:t>Agriculture</w:t>
            </w:r>
          </w:p>
        </w:tc>
        <w:tc>
          <w:tcPr>
            <w:tcW w:w="3222" w:type="dxa"/>
          </w:tcPr>
          <w:p w14:paraId="0CABB7DA" w14:textId="77777777" w:rsidR="00536F62" w:rsidRPr="00536F62" w:rsidRDefault="00536F62" w:rsidP="0011372F">
            <w:pPr>
              <w:rPr>
                <w:rFonts w:asciiTheme="minorHAnsi" w:hAnsiTheme="minorHAnsi" w:cstheme="minorHAnsi"/>
              </w:rPr>
            </w:pPr>
            <w:r w:rsidRPr="00536F62">
              <w:rPr>
                <w:rFonts w:asciiTheme="minorHAnsi" w:hAnsiTheme="minorHAnsi" w:cstheme="minorHAnsi"/>
              </w:rPr>
              <w:t>Develop detailed decarbonisation targets by 2025</w:t>
            </w:r>
          </w:p>
        </w:tc>
        <w:tc>
          <w:tcPr>
            <w:tcW w:w="2732" w:type="dxa"/>
          </w:tcPr>
          <w:p w14:paraId="32B8DEEB" w14:textId="77777777" w:rsidR="00536F62" w:rsidRPr="00536F62" w:rsidRDefault="00536F62" w:rsidP="0011372F">
            <w:pPr>
              <w:rPr>
                <w:rFonts w:asciiTheme="minorHAnsi" w:hAnsiTheme="minorHAnsi" w:cstheme="minorHAnsi"/>
              </w:rPr>
            </w:pPr>
            <w:r w:rsidRPr="00536F62">
              <w:rPr>
                <w:rFonts w:asciiTheme="minorHAnsi" w:hAnsiTheme="minorHAnsi" w:cstheme="minorHAnsi"/>
              </w:rPr>
              <w:t>Plans in development</w:t>
            </w:r>
          </w:p>
        </w:tc>
        <w:tc>
          <w:tcPr>
            <w:tcW w:w="1224" w:type="dxa"/>
            <w:shd w:val="clear" w:color="auto" w:fill="FFFF00"/>
          </w:tcPr>
          <w:p w14:paraId="794CA41A" w14:textId="77777777" w:rsidR="00536F62" w:rsidRDefault="00536F62" w:rsidP="0011372F"/>
        </w:tc>
      </w:tr>
      <w:tr w:rsidR="00536F62" w14:paraId="7D303C7F" w14:textId="77777777" w:rsidTr="0011372F">
        <w:tc>
          <w:tcPr>
            <w:tcW w:w="1838" w:type="dxa"/>
          </w:tcPr>
          <w:p w14:paraId="1D79CA3B" w14:textId="77777777" w:rsidR="00536F62" w:rsidRPr="00536F62" w:rsidRDefault="00536F62" w:rsidP="0011372F">
            <w:pPr>
              <w:rPr>
                <w:rFonts w:asciiTheme="minorHAnsi" w:hAnsiTheme="minorHAnsi" w:cstheme="minorHAnsi"/>
                <w:b/>
                <w:bCs/>
              </w:rPr>
            </w:pPr>
            <w:r w:rsidRPr="00536F62">
              <w:rPr>
                <w:rFonts w:asciiTheme="minorHAnsi" w:hAnsiTheme="minorHAnsi" w:cstheme="minorHAnsi"/>
                <w:b/>
                <w:bCs/>
              </w:rPr>
              <w:t>Community Involvement</w:t>
            </w:r>
          </w:p>
        </w:tc>
        <w:tc>
          <w:tcPr>
            <w:tcW w:w="3222" w:type="dxa"/>
          </w:tcPr>
          <w:p w14:paraId="644FFBD1" w14:textId="77777777" w:rsidR="00536F62" w:rsidRPr="00536F62" w:rsidRDefault="00536F62" w:rsidP="0011372F">
            <w:pPr>
              <w:rPr>
                <w:rFonts w:asciiTheme="minorHAnsi" w:hAnsiTheme="minorHAnsi" w:cstheme="minorHAnsi"/>
              </w:rPr>
            </w:pPr>
            <w:r w:rsidRPr="00536F62">
              <w:rPr>
                <w:rFonts w:asciiTheme="minorHAnsi" w:hAnsiTheme="minorHAnsi" w:cstheme="minorHAnsi"/>
              </w:rPr>
              <w:t>Hold at least 3 events per year</w:t>
            </w:r>
          </w:p>
        </w:tc>
        <w:tc>
          <w:tcPr>
            <w:tcW w:w="2732" w:type="dxa"/>
          </w:tcPr>
          <w:p w14:paraId="6B7C7E94" w14:textId="77777777" w:rsidR="00536F62" w:rsidRPr="00536F62" w:rsidRDefault="00536F62" w:rsidP="0011372F">
            <w:pPr>
              <w:rPr>
                <w:rFonts w:asciiTheme="minorHAnsi" w:hAnsiTheme="minorHAnsi" w:cstheme="minorHAnsi"/>
              </w:rPr>
            </w:pPr>
            <w:r w:rsidRPr="00536F62">
              <w:rPr>
                <w:rFonts w:asciiTheme="minorHAnsi" w:hAnsiTheme="minorHAnsi" w:cstheme="minorHAnsi"/>
              </w:rPr>
              <w:t>Held over 10 events</w:t>
            </w:r>
          </w:p>
        </w:tc>
        <w:tc>
          <w:tcPr>
            <w:tcW w:w="1224" w:type="dxa"/>
            <w:shd w:val="clear" w:color="auto" w:fill="C5E0B3" w:themeFill="accent6" w:themeFillTint="66"/>
          </w:tcPr>
          <w:p w14:paraId="2210E50F" w14:textId="77777777" w:rsidR="00536F62" w:rsidRDefault="00536F62" w:rsidP="0011372F"/>
        </w:tc>
      </w:tr>
    </w:tbl>
    <w:p w14:paraId="14569F09" w14:textId="77777777" w:rsidR="00B64BBD" w:rsidRDefault="00B64BBD" w:rsidP="006465A4">
      <w:pPr>
        <w:jc w:val="both"/>
        <w:rPr>
          <w:rFonts w:asciiTheme="minorHAnsi" w:hAnsiTheme="minorHAnsi" w:cstheme="minorHAnsi"/>
        </w:rPr>
      </w:pPr>
    </w:p>
    <w:p w14:paraId="7FC12AD2" w14:textId="01A130AD" w:rsidR="00351CD8" w:rsidRPr="0007242F" w:rsidRDefault="00ED0F95" w:rsidP="006465A4">
      <w:pPr>
        <w:jc w:val="both"/>
        <w:rPr>
          <w:rFonts w:asciiTheme="minorHAnsi" w:hAnsiTheme="minorHAnsi" w:cstheme="minorHAnsi"/>
          <w:bCs/>
          <w:iCs/>
          <w:sz w:val="24"/>
          <w:szCs w:val="24"/>
        </w:rPr>
      </w:pPr>
      <w:r w:rsidRPr="0007242F">
        <w:rPr>
          <w:rFonts w:asciiTheme="minorHAnsi" w:hAnsiTheme="minorHAnsi" w:cstheme="minorHAnsi"/>
          <w:bCs/>
          <w:iCs/>
          <w:sz w:val="24"/>
          <w:szCs w:val="24"/>
        </w:rPr>
        <w:t xml:space="preserve">Overall, we are on track with our KPIs and making good progress with emission reductions, </w:t>
      </w:r>
      <w:proofErr w:type="gramStart"/>
      <w:r w:rsidRPr="0007242F">
        <w:rPr>
          <w:rFonts w:asciiTheme="minorHAnsi" w:hAnsiTheme="minorHAnsi" w:cstheme="minorHAnsi"/>
          <w:bCs/>
          <w:iCs/>
          <w:sz w:val="24"/>
          <w:szCs w:val="24"/>
        </w:rPr>
        <w:t>in particular</w:t>
      </w:r>
      <w:proofErr w:type="gramEnd"/>
      <w:r w:rsidRPr="0007242F">
        <w:rPr>
          <w:rFonts w:asciiTheme="minorHAnsi" w:hAnsiTheme="minorHAnsi" w:cstheme="minorHAnsi"/>
          <w:bCs/>
          <w:iCs/>
          <w:sz w:val="24"/>
          <w:szCs w:val="24"/>
        </w:rPr>
        <w:t xml:space="preserve"> </w:t>
      </w:r>
      <w:proofErr w:type="gramStart"/>
      <w:r w:rsidR="0051433D" w:rsidRPr="0007242F">
        <w:rPr>
          <w:rFonts w:asciiTheme="minorHAnsi" w:hAnsiTheme="minorHAnsi" w:cstheme="minorHAnsi"/>
          <w:bCs/>
          <w:iCs/>
          <w:sz w:val="24"/>
          <w:szCs w:val="24"/>
        </w:rPr>
        <w:t xml:space="preserve">our </w:t>
      </w:r>
      <w:r w:rsidRPr="0007242F">
        <w:rPr>
          <w:rFonts w:asciiTheme="minorHAnsi" w:hAnsiTheme="minorHAnsi" w:cstheme="minorHAnsi"/>
          <w:bCs/>
          <w:iCs/>
          <w:sz w:val="24"/>
          <w:szCs w:val="24"/>
        </w:rPr>
        <w:t xml:space="preserve"> energy</w:t>
      </w:r>
      <w:proofErr w:type="gramEnd"/>
      <w:r w:rsidRPr="0007242F">
        <w:rPr>
          <w:rFonts w:asciiTheme="minorHAnsi" w:hAnsiTheme="minorHAnsi" w:cstheme="minorHAnsi"/>
          <w:bCs/>
          <w:iCs/>
          <w:sz w:val="24"/>
          <w:szCs w:val="24"/>
        </w:rPr>
        <w:t xml:space="preserve"> </w:t>
      </w:r>
      <w:proofErr w:type="gramStart"/>
      <w:r w:rsidRPr="0007242F">
        <w:rPr>
          <w:rFonts w:asciiTheme="minorHAnsi" w:hAnsiTheme="minorHAnsi" w:cstheme="minorHAnsi"/>
          <w:bCs/>
          <w:iCs/>
          <w:sz w:val="24"/>
          <w:szCs w:val="24"/>
        </w:rPr>
        <w:t>reduction</w:t>
      </w:r>
      <w:r w:rsidR="00245E18" w:rsidRPr="0007242F">
        <w:rPr>
          <w:rFonts w:asciiTheme="minorHAnsi" w:hAnsiTheme="minorHAnsi" w:cstheme="minorHAnsi"/>
          <w:bCs/>
          <w:iCs/>
          <w:sz w:val="24"/>
          <w:szCs w:val="24"/>
        </w:rPr>
        <w:t xml:space="preserve"> </w:t>
      </w:r>
      <w:r w:rsidRPr="0007242F">
        <w:rPr>
          <w:rFonts w:asciiTheme="minorHAnsi" w:hAnsiTheme="minorHAnsi" w:cstheme="minorHAnsi"/>
          <w:bCs/>
          <w:iCs/>
          <w:sz w:val="24"/>
          <w:szCs w:val="24"/>
        </w:rPr>
        <w:t>.</w:t>
      </w:r>
      <w:proofErr w:type="gramEnd"/>
      <w:r w:rsidRPr="0007242F">
        <w:rPr>
          <w:rFonts w:asciiTheme="minorHAnsi" w:hAnsiTheme="minorHAnsi" w:cstheme="minorHAnsi"/>
          <w:bCs/>
          <w:iCs/>
          <w:sz w:val="24"/>
          <w:szCs w:val="24"/>
        </w:rPr>
        <w:t xml:space="preserve"> However, there are areas we can continue making improvements in. Our h</w:t>
      </w:r>
      <w:r w:rsidR="00B64BBD" w:rsidRPr="0007242F">
        <w:rPr>
          <w:rFonts w:asciiTheme="minorHAnsi" w:hAnsiTheme="minorHAnsi" w:cstheme="minorHAnsi"/>
          <w:bCs/>
          <w:iCs/>
          <w:sz w:val="24"/>
          <w:szCs w:val="24"/>
        </w:rPr>
        <w:t xml:space="preserve">eat decarbonisation </w:t>
      </w:r>
      <w:r w:rsidRPr="0007242F">
        <w:rPr>
          <w:rFonts w:asciiTheme="minorHAnsi" w:hAnsiTheme="minorHAnsi" w:cstheme="minorHAnsi"/>
          <w:bCs/>
          <w:iCs/>
          <w:sz w:val="24"/>
          <w:szCs w:val="24"/>
        </w:rPr>
        <w:t>project is significant in our aim to reach net zero, however this is</w:t>
      </w:r>
      <w:r w:rsidR="00B64BBD" w:rsidRPr="0007242F">
        <w:rPr>
          <w:rFonts w:asciiTheme="minorHAnsi" w:hAnsiTheme="minorHAnsi" w:cstheme="minorHAnsi"/>
          <w:bCs/>
          <w:iCs/>
          <w:sz w:val="24"/>
          <w:szCs w:val="24"/>
        </w:rPr>
        <w:t xml:space="preserve"> limited by external funding opportunities, so </w:t>
      </w:r>
      <w:r w:rsidRPr="0007242F">
        <w:rPr>
          <w:rFonts w:asciiTheme="minorHAnsi" w:hAnsiTheme="minorHAnsi" w:cstheme="minorHAnsi"/>
          <w:bCs/>
          <w:iCs/>
          <w:sz w:val="24"/>
          <w:szCs w:val="24"/>
        </w:rPr>
        <w:t>unless funding becomes available, we</w:t>
      </w:r>
      <w:r w:rsidR="00B64BBD" w:rsidRPr="0007242F">
        <w:rPr>
          <w:rFonts w:asciiTheme="minorHAnsi" w:hAnsiTheme="minorHAnsi" w:cstheme="minorHAnsi"/>
          <w:bCs/>
          <w:iCs/>
          <w:sz w:val="24"/>
          <w:szCs w:val="24"/>
        </w:rPr>
        <w:t xml:space="preserve"> must</w:t>
      </w:r>
      <w:r w:rsidRPr="0007242F">
        <w:rPr>
          <w:rFonts w:asciiTheme="minorHAnsi" w:hAnsiTheme="minorHAnsi" w:cstheme="minorHAnsi"/>
          <w:bCs/>
          <w:iCs/>
          <w:sz w:val="24"/>
          <w:szCs w:val="24"/>
        </w:rPr>
        <w:t xml:space="preserve"> continue to</w:t>
      </w:r>
      <w:r w:rsidR="00B64BBD" w:rsidRPr="0007242F">
        <w:rPr>
          <w:rFonts w:asciiTheme="minorHAnsi" w:hAnsiTheme="minorHAnsi" w:cstheme="minorHAnsi"/>
          <w:bCs/>
          <w:iCs/>
          <w:sz w:val="24"/>
          <w:szCs w:val="24"/>
        </w:rPr>
        <w:t xml:space="preserve"> focus on further gas demand reduction. </w:t>
      </w:r>
      <w:r w:rsidR="0079123E" w:rsidRPr="0007242F">
        <w:rPr>
          <w:rFonts w:asciiTheme="minorHAnsi" w:hAnsiTheme="minorHAnsi" w:cstheme="minorHAnsi"/>
          <w:bCs/>
          <w:iCs/>
          <w:sz w:val="24"/>
          <w:szCs w:val="24"/>
        </w:rPr>
        <w:t>Our emissions from waste have increased, however we have recently changed our methodology for waste data is more accurate, and we are hoping that the implementation of the recent workplace recycling law will help data collection in the future</w:t>
      </w:r>
      <w:r w:rsidRPr="0007242F">
        <w:rPr>
          <w:rFonts w:asciiTheme="minorHAnsi" w:hAnsiTheme="minorHAnsi" w:cstheme="minorHAnsi"/>
          <w:bCs/>
          <w:iCs/>
          <w:sz w:val="24"/>
          <w:szCs w:val="24"/>
        </w:rPr>
        <w:t xml:space="preserve">. </w:t>
      </w:r>
      <w:r w:rsidR="00B64BBD" w:rsidRPr="0007242F">
        <w:rPr>
          <w:rFonts w:asciiTheme="minorHAnsi" w:hAnsiTheme="minorHAnsi" w:cstheme="minorHAnsi"/>
          <w:bCs/>
          <w:iCs/>
          <w:sz w:val="24"/>
          <w:szCs w:val="24"/>
        </w:rPr>
        <w:t>While our water and sewerage emissions are down 50%, this is due to a reduction in emission factor</w:t>
      </w:r>
      <w:r w:rsidRPr="0007242F">
        <w:rPr>
          <w:rFonts w:asciiTheme="minorHAnsi" w:hAnsiTheme="minorHAnsi" w:cstheme="minorHAnsi"/>
          <w:bCs/>
          <w:iCs/>
          <w:sz w:val="24"/>
          <w:szCs w:val="24"/>
        </w:rPr>
        <w:t>s</w:t>
      </w:r>
      <w:r w:rsidR="00B64BBD" w:rsidRPr="0007242F">
        <w:rPr>
          <w:rFonts w:asciiTheme="minorHAnsi" w:hAnsiTheme="minorHAnsi" w:cstheme="minorHAnsi"/>
          <w:bCs/>
          <w:iCs/>
          <w:sz w:val="24"/>
          <w:szCs w:val="24"/>
        </w:rPr>
        <w:t xml:space="preserve"> since our base year </w:t>
      </w:r>
      <w:r w:rsidRPr="0007242F">
        <w:rPr>
          <w:rFonts w:asciiTheme="minorHAnsi" w:hAnsiTheme="minorHAnsi" w:cstheme="minorHAnsi"/>
          <w:bCs/>
          <w:iCs/>
          <w:sz w:val="24"/>
          <w:szCs w:val="24"/>
        </w:rPr>
        <w:t xml:space="preserve">rather than a reduction in water consumption, therefore we need to continue working on water reduction strategies. </w:t>
      </w:r>
      <w:r w:rsidR="00487164" w:rsidRPr="0007242F">
        <w:rPr>
          <w:rFonts w:asciiTheme="minorHAnsi" w:hAnsiTheme="minorHAnsi" w:cstheme="minorHAnsi"/>
          <w:bCs/>
          <w:iCs/>
          <w:sz w:val="24"/>
          <w:szCs w:val="24"/>
        </w:rPr>
        <w:t>Travel data was estimated based on this year’s staff travel survey results, and while improving on our methodology from 2019, this was a relatively small sample (</w:t>
      </w:r>
      <w:r w:rsidRPr="0007242F">
        <w:rPr>
          <w:rFonts w:asciiTheme="minorHAnsi" w:hAnsiTheme="minorHAnsi" w:cstheme="minorHAnsi"/>
          <w:bCs/>
          <w:iCs/>
          <w:sz w:val="24"/>
          <w:szCs w:val="24"/>
        </w:rPr>
        <w:t xml:space="preserve">17% response rate), so methodology may still benefit from improvement.  </w:t>
      </w:r>
    </w:p>
    <w:p w14:paraId="2CB95739" w14:textId="77777777" w:rsidR="00ED0F95" w:rsidRDefault="00ED0F95" w:rsidP="006465A4">
      <w:pPr>
        <w:jc w:val="both"/>
        <w:rPr>
          <w:rFonts w:asciiTheme="minorHAnsi" w:hAnsiTheme="minorHAnsi" w:cstheme="minorHAnsi"/>
        </w:rPr>
      </w:pPr>
    </w:p>
    <w:p w14:paraId="4C4C9816" w14:textId="77777777" w:rsidR="00351CD8" w:rsidRDefault="00351CD8" w:rsidP="006465A4">
      <w:pPr>
        <w:jc w:val="both"/>
        <w:rPr>
          <w:rFonts w:asciiTheme="minorHAnsi" w:hAnsiTheme="minorHAnsi" w:cstheme="minorHAnsi"/>
        </w:rPr>
      </w:pPr>
    </w:p>
    <w:p w14:paraId="3585E06E" w14:textId="77777777" w:rsidR="00351CD8" w:rsidRDefault="00351CD8" w:rsidP="006465A4">
      <w:pPr>
        <w:jc w:val="both"/>
        <w:rPr>
          <w:rFonts w:asciiTheme="minorHAnsi" w:hAnsiTheme="minorHAnsi" w:cstheme="minorHAnsi"/>
        </w:rPr>
      </w:pPr>
    </w:p>
    <w:p w14:paraId="60E304B5" w14:textId="418CFA72" w:rsidR="006465A4" w:rsidRDefault="006465A4" w:rsidP="006465A4">
      <w:pPr>
        <w:pStyle w:val="ListParagraph"/>
        <w:numPr>
          <w:ilvl w:val="0"/>
          <w:numId w:val="2"/>
        </w:numPr>
        <w:jc w:val="both"/>
        <w:rPr>
          <w:rFonts w:asciiTheme="minorHAnsi" w:hAnsiTheme="minorHAnsi" w:cstheme="minorHAnsi"/>
          <w:b/>
          <w:sz w:val="24"/>
          <w:szCs w:val="24"/>
          <w:u w:val="single"/>
        </w:rPr>
      </w:pPr>
      <w:r w:rsidRPr="00261ADB">
        <w:rPr>
          <w:rFonts w:asciiTheme="minorHAnsi" w:hAnsiTheme="minorHAnsi" w:cstheme="minorHAnsi"/>
          <w:b/>
          <w:sz w:val="24"/>
          <w:szCs w:val="24"/>
          <w:u w:val="single"/>
        </w:rPr>
        <w:t>Recently Completed Carbon Reduction Projects</w:t>
      </w:r>
      <w:r w:rsidR="00ED6E45">
        <w:rPr>
          <w:rFonts w:asciiTheme="minorHAnsi" w:hAnsiTheme="minorHAnsi" w:cstheme="minorHAnsi"/>
          <w:b/>
          <w:sz w:val="24"/>
          <w:szCs w:val="24"/>
          <w:u w:val="single"/>
        </w:rPr>
        <w:t xml:space="preserve"> and Improvements</w:t>
      </w:r>
    </w:p>
    <w:p w14:paraId="00388340" w14:textId="77777777" w:rsidR="006465A4" w:rsidRPr="005C36E8" w:rsidRDefault="006465A4" w:rsidP="006465A4">
      <w:pPr>
        <w:jc w:val="both"/>
        <w:rPr>
          <w:rFonts w:asciiTheme="minorHAnsi" w:hAnsiTheme="minorHAnsi" w:cstheme="minorHAnsi"/>
          <w:color w:val="000000" w:themeColor="text1"/>
          <w:sz w:val="24"/>
          <w:szCs w:val="24"/>
        </w:rPr>
      </w:pPr>
    </w:p>
    <w:p w14:paraId="1A54B88A" w14:textId="7A648E55" w:rsidR="006465A4" w:rsidRPr="005C36E8" w:rsidRDefault="00FE2006" w:rsidP="006465A4">
      <w:pPr>
        <w:jc w:val="both"/>
        <w:rPr>
          <w:rFonts w:asciiTheme="minorHAnsi" w:hAnsiTheme="minorHAnsi" w:cstheme="minorHAnsi"/>
          <w:b/>
          <w:i/>
          <w:color w:val="000000" w:themeColor="text1"/>
          <w:sz w:val="24"/>
          <w:szCs w:val="24"/>
        </w:rPr>
      </w:pPr>
      <w:r w:rsidRPr="005C36E8">
        <w:rPr>
          <w:rFonts w:asciiTheme="minorHAnsi" w:hAnsiTheme="minorHAnsi" w:cstheme="minorHAnsi"/>
          <w:b/>
          <w:i/>
          <w:color w:val="000000" w:themeColor="text1"/>
          <w:sz w:val="24"/>
          <w:szCs w:val="24"/>
        </w:rPr>
        <w:t>Heating optimisation</w:t>
      </w:r>
    </w:p>
    <w:p w14:paraId="04F487D3" w14:textId="4DEEFCE5" w:rsidR="00C50641" w:rsidRPr="00CC77E0" w:rsidRDefault="00C50641" w:rsidP="006465A4">
      <w:pPr>
        <w:jc w:val="both"/>
        <w:rPr>
          <w:rFonts w:asciiTheme="minorHAnsi" w:hAnsiTheme="minorHAnsi" w:cstheme="minorHAnsi"/>
          <w:bCs/>
          <w:iCs/>
          <w:sz w:val="24"/>
          <w:szCs w:val="24"/>
        </w:rPr>
      </w:pPr>
      <w:r w:rsidRPr="00CC77E0">
        <w:rPr>
          <w:rFonts w:asciiTheme="minorHAnsi" w:hAnsiTheme="minorHAnsi" w:cstheme="minorHAnsi"/>
          <w:bCs/>
          <w:iCs/>
          <w:sz w:val="24"/>
          <w:szCs w:val="24"/>
        </w:rPr>
        <w:t xml:space="preserve">To reduce gas </w:t>
      </w:r>
      <w:r w:rsidR="005E57D7" w:rsidRPr="00CC77E0">
        <w:rPr>
          <w:rFonts w:asciiTheme="minorHAnsi" w:hAnsiTheme="minorHAnsi" w:cstheme="minorHAnsi"/>
          <w:bCs/>
          <w:iCs/>
          <w:sz w:val="24"/>
          <w:szCs w:val="24"/>
        </w:rPr>
        <w:t>demand,</w:t>
      </w:r>
      <w:r w:rsidRPr="00CC77E0">
        <w:rPr>
          <w:rFonts w:asciiTheme="minorHAnsi" w:hAnsiTheme="minorHAnsi" w:cstheme="minorHAnsi"/>
          <w:bCs/>
          <w:iCs/>
          <w:sz w:val="24"/>
          <w:szCs w:val="24"/>
        </w:rPr>
        <w:t xml:space="preserve"> we have implemented multiple changes to our heating strategy. These include reducing temperature set-points in offices and residential areas, reducing core heating hours by an hour in the morning and evening, and closely monitoring temperatures across different buildings to detect any issues and check performance. This year, our summer switch-off was earlier than usual. We also implemented changes across individual campuses/buildings; the majority of our </w:t>
      </w:r>
      <w:r w:rsidRPr="00CC77E0">
        <w:rPr>
          <w:rFonts w:asciiTheme="minorHAnsi" w:hAnsiTheme="minorHAnsi" w:cstheme="minorHAnsi"/>
          <w:bCs/>
          <w:iCs/>
          <w:sz w:val="24"/>
          <w:szCs w:val="24"/>
        </w:rPr>
        <w:lastRenderedPageBreak/>
        <w:t xml:space="preserve">Llanbadarn campus is now at heated just to a background level in accordance </w:t>
      </w:r>
      <w:proofErr w:type="gramStart"/>
      <w:r w:rsidRPr="00CC77E0">
        <w:rPr>
          <w:rFonts w:asciiTheme="minorHAnsi" w:hAnsiTheme="minorHAnsi" w:cstheme="minorHAnsi"/>
          <w:bCs/>
          <w:iCs/>
          <w:sz w:val="24"/>
          <w:szCs w:val="24"/>
        </w:rPr>
        <w:t>to</w:t>
      </w:r>
      <w:proofErr w:type="gramEnd"/>
      <w:r w:rsidRPr="00CC77E0">
        <w:rPr>
          <w:rFonts w:asciiTheme="minorHAnsi" w:hAnsiTheme="minorHAnsi" w:cstheme="minorHAnsi"/>
          <w:bCs/>
          <w:iCs/>
          <w:sz w:val="24"/>
          <w:szCs w:val="24"/>
        </w:rPr>
        <w:t xml:space="preserve"> new space rationalisation methods, and we </w:t>
      </w:r>
      <w:proofErr w:type="gramStart"/>
      <w:r w:rsidRPr="00CC77E0">
        <w:rPr>
          <w:rFonts w:asciiTheme="minorHAnsi" w:hAnsiTheme="minorHAnsi" w:cstheme="minorHAnsi"/>
          <w:bCs/>
          <w:iCs/>
          <w:sz w:val="24"/>
          <w:szCs w:val="24"/>
        </w:rPr>
        <w:t>have also have</w:t>
      </w:r>
      <w:proofErr w:type="gramEnd"/>
      <w:r w:rsidRPr="00CC77E0">
        <w:rPr>
          <w:rFonts w:asciiTheme="minorHAnsi" w:hAnsiTheme="minorHAnsi" w:cstheme="minorHAnsi"/>
          <w:bCs/>
          <w:iCs/>
          <w:sz w:val="24"/>
          <w:szCs w:val="24"/>
        </w:rPr>
        <w:t xml:space="preserve"> optimised heating in the Hugh Owen library as well as Fferm Penglais. While last Winter was much milder than the year</w:t>
      </w:r>
      <w:r w:rsidR="00FA67FE" w:rsidRPr="00CC77E0">
        <w:rPr>
          <w:rFonts w:asciiTheme="minorHAnsi" w:hAnsiTheme="minorHAnsi" w:cstheme="minorHAnsi"/>
          <w:bCs/>
          <w:iCs/>
          <w:sz w:val="24"/>
          <w:szCs w:val="24"/>
        </w:rPr>
        <w:t xml:space="preserve"> </w:t>
      </w:r>
      <w:r w:rsidRPr="00CC77E0">
        <w:rPr>
          <w:rFonts w:asciiTheme="minorHAnsi" w:hAnsiTheme="minorHAnsi" w:cstheme="minorHAnsi"/>
          <w:bCs/>
          <w:iCs/>
          <w:sz w:val="24"/>
          <w:szCs w:val="24"/>
        </w:rPr>
        <w:t xml:space="preserve">before, after normalising for weather differences, we have saved an estimated </w:t>
      </w:r>
      <w:r w:rsidR="00FA67FE" w:rsidRPr="00CC77E0">
        <w:rPr>
          <w:rFonts w:asciiTheme="minorHAnsi" w:hAnsiTheme="minorHAnsi" w:cstheme="minorHAnsi"/>
          <w:bCs/>
          <w:iCs/>
          <w:sz w:val="24"/>
          <w:szCs w:val="24"/>
        </w:rPr>
        <w:t xml:space="preserve">£530,000 on gas costs, and reduced emissions by around 1000 tCO2e. </w:t>
      </w:r>
    </w:p>
    <w:p w14:paraId="3B3ECC3E" w14:textId="77777777" w:rsidR="00FE2006" w:rsidRPr="00261ADB" w:rsidRDefault="00FE2006" w:rsidP="006465A4">
      <w:pPr>
        <w:jc w:val="both"/>
        <w:rPr>
          <w:rFonts w:asciiTheme="minorHAnsi" w:hAnsiTheme="minorHAnsi" w:cstheme="minorHAnsi"/>
          <w:b/>
          <w:i/>
          <w:sz w:val="24"/>
          <w:szCs w:val="24"/>
        </w:rPr>
      </w:pPr>
    </w:p>
    <w:p w14:paraId="3F3840A7" w14:textId="77777777" w:rsidR="006465A4" w:rsidRPr="00261ADB" w:rsidRDefault="006465A4" w:rsidP="006465A4">
      <w:pPr>
        <w:jc w:val="both"/>
        <w:rPr>
          <w:rFonts w:asciiTheme="minorHAnsi" w:hAnsiTheme="minorHAnsi" w:cstheme="minorHAnsi"/>
          <w:b/>
          <w:bCs/>
          <w:i/>
          <w:sz w:val="24"/>
          <w:szCs w:val="24"/>
        </w:rPr>
      </w:pPr>
      <w:r w:rsidRPr="00261ADB">
        <w:rPr>
          <w:rFonts w:asciiTheme="minorHAnsi" w:hAnsiTheme="minorHAnsi" w:cstheme="minorHAnsi"/>
          <w:b/>
          <w:i/>
          <w:sz w:val="24"/>
          <w:szCs w:val="24"/>
        </w:rPr>
        <w:t>REFIT Phase 2 - Solar PV Array in Fferm Penglais Fields</w:t>
      </w:r>
    </w:p>
    <w:p w14:paraId="78D61FA2" w14:textId="64D8469A" w:rsidR="00D37869" w:rsidRPr="00CC77E0" w:rsidRDefault="00D37869" w:rsidP="00D37869">
      <w:pPr>
        <w:jc w:val="both"/>
        <w:rPr>
          <w:rFonts w:asciiTheme="minorHAnsi" w:hAnsiTheme="minorHAnsi" w:cstheme="minorHAnsi"/>
          <w:sz w:val="24"/>
          <w:szCs w:val="24"/>
        </w:rPr>
      </w:pPr>
      <w:r w:rsidRPr="00CC77E0">
        <w:rPr>
          <w:rFonts w:asciiTheme="minorHAnsi" w:hAnsiTheme="minorHAnsi" w:cstheme="minorHAnsi"/>
          <w:sz w:val="24"/>
          <w:szCs w:val="24"/>
        </w:rPr>
        <w:t>Having complet</w:t>
      </w:r>
      <w:r w:rsidR="006465A4" w:rsidRPr="00CC77E0">
        <w:rPr>
          <w:rFonts w:asciiTheme="minorHAnsi" w:hAnsiTheme="minorHAnsi" w:cstheme="minorHAnsi"/>
          <w:sz w:val="24"/>
          <w:szCs w:val="24"/>
        </w:rPr>
        <w:t xml:space="preserve">ed works on a 2.5MW solar PV </w:t>
      </w:r>
      <w:r w:rsidR="009C566B" w:rsidRPr="00CC77E0">
        <w:rPr>
          <w:rFonts w:asciiTheme="minorHAnsi" w:hAnsiTheme="minorHAnsi" w:cstheme="minorHAnsi"/>
          <w:sz w:val="24"/>
          <w:szCs w:val="24"/>
        </w:rPr>
        <w:t>array</w:t>
      </w:r>
      <w:r w:rsidR="006465A4" w:rsidRPr="00CC77E0">
        <w:rPr>
          <w:rFonts w:asciiTheme="minorHAnsi" w:hAnsiTheme="minorHAnsi" w:cstheme="minorHAnsi"/>
          <w:sz w:val="24"/>
          <w:szCs w:val="24"/>
        </w:rPr>
        <w:t xml:space="preserve"> at Fields above Fferm Penglais</w:t>
      </w:r>
      <w:r w:rsidRPr="00CC77E0">
        <w:rPr>
          <w:rFonts w:asciiTheme="minorHAnsi" w:hAnsiTheme="minorHAnsi" w:cstheme="minorHAnsi"/>
          <w:sz w:val="24"/>
          <w:szCs w:val="24"/>
        </w:rPr>
        <w:t>, the site has been fully generating since February 2023. T</w:t>
      </w:r>
      <w:r w:rsidR="006465A4" w:rsidRPr="00CC77E0">
        <w:rPr>
          <w:rFonts w:asciiTheme="minorHAnsi" w:hAnsiTheme="minorHAnsi" w:cstheme="minorHAnsi"/>
          <w:sz w:val="24"/>
          <w:szCs w:val="24"/>
        </w:rPr>
        <w:t>h</w:t>
      </w:r>
      <w:r w:rsidRPr="00CC77E0">
        <w:rPr>
          <w:rFonts w:asciiTheme="minorHAnsi" w:hAnsiTheme="minorHAnsi" w:cstheme="minorHAnsi"/>
          <w:sz w:val="24"/>
          <w:szCs w:val="24"/>
        </w:rPr>
        <w:t xml:space="preserve">e site has since reduced emissions by 610 </w:t>
      </w:r>
      <w:proofErr w:type="gramStart"/>
      <w:r w:rsidRPr="00CC77E0">
        <w:rPr>
          <w:rFonts w:asciiTheme="minorHAnsi" w:hAnsiTheme="minorHAnsi" w:cstheme="minorHAnsi"/>
          <w:sz w:val="24"/>
          <w:szCs w:val="24"/>
        </w:rPr>
        <w:t>tCO2e, and</w:t>
      </w:r>
      <w:proofErr w:type="gramEnd"/>
      <w:r w:rsidRPr="00CC77E0">
        <w:rPr>
          <w:rFonts w:asciiTheme="minorHAnsi" w:hAnsiTheme="minorHAnsi" w:cstheme="minorHAnsi"/>
          <w:sz w:val="24"/>
          <w:szCs w:val="24"/>
        </w:rPr>
        <w:t xml:space="preserve"> constitutes 2</w:t>
      </w:r>
      <w:r w:rsidR="004219C1" w:rsidRPr="00CC77E0">
        <w:rPr>
          <w:rFonts w:asciiTheme="minorHAnsi" w:hAnsiTheme="minorHAnsi" w:cstheme="minorHAnsi"/>
          <w:sz w:val="24"/>
          <w:szCs w:val="24"/>
        </w:rPr>
        <w:t>0% of Penglais Campus</w:t>
      </w:r>
      <w:r w:rsidR="002643DC" w:rsidRPr="00CC77E0">
        <w:rPr>
          <w:rFonts w:asciiTheme="minorHAnsi" w:hAnsiTheme="minorHAnsi" w:cstheme="minorHAnsi"/>
          <w:sz w:val="24"/>
          <w:szCs w:val="24"/>
        </w:rPr>
        <w:t>’ electricity demand</w:t>
      </w:r>
      <w:r w:rsidR="00FE2006" w:rsidRPr="00CC77E0">
        <w:rPr>
          <w:rFonts w:asciiTheme="minorHAnsi" w:hAnsiTheme="minorHAnsi" w:cstheme="minorHAnsi"/>
          <w:sz w:val="24"/>
          <w:szCs w:val="24"/>
        </w:rPr>
        <w:t>. Emissions reductions are in line with estimated savings of 500 tCO2e</w:t>
      </w:r>
      <w:r w:rsidR="002643DC" w:rsidRPr="00CC77E0">
        <w:rPr>
          <w:rFonts w:asciiTheme="minorHAnsi" w:hAnsiTheme="minorHAnsi" w:cstheme="minorHAnsi"/>
          <w:sz w:val="24"/>
          <w:szCs w:val="24"/>
        </w:rPr>
        <w:t xml:space="preserve">. </w:t>
      </w:r>
    </w:p>
    <w:p w14:paraId="7692E105" w14:textId="6069A7CD" w:rsidR="006465A4" w:rsidRPr="00CC77E0" w:rsidRDefault="00D37869" w:rsidP="006465A4">
      <w:pPr>
        <w:jc w:val="both"/>
        <w:rPr>
          <w:rFonts w:asciiTheme="minorHAnsi" w:hAnsiTheme="minorHAnsi" w:cstheme="minorHAnsi"/>
          <w:sz w:val="24"/>
          <w:szCs w:val="24"/>
        </w:rPr>
      </w:pPr>
      <w:r w:rsidRPr="00CC77E0">
        <w:rPr>
          <w:rFonts w:asciiTheme="minorHAnsi" w:hAnsiTheme="minorHAnsi" w:cstheme="minorHAnsi"/>
          <w:sz w:val="24"/>
          <w:szCs w:val="24"/>
        </w:rPr>
        <w:t xml:space="preserve"> </w:t>
      </w:r>
    </w:p>
    <w:p w14:paraId="7BCF6C62" w14:textId="77777777" w:rsidR="006465A4" w:rsidRPr="00CC77E0" w:rsidRDefault="006465A4" w:rsidP="006465A4">
      <w:pPr>
        <w:jc w:val="both"/>
        <w:rPr>
          <w:rFonts w:asciiTheme="minorHAnsi" w:hAnsiTheme="minorHAnsi" w:cstheme="minorHAnsi"/>
          <w:b/>
          <w:i/>
          <w:sz w:val="24"/>
          <w:szCs w:val="24"/>
        </w:rPr>
      </w:pPr>
      <w:r w:rsidRPr="00CC77E0">
        <w:rPr>
          <w:rFonts w:asciiTheme="minorHAnsi" w:hAnsiTheme="minorHAnsi" w:cstheme="minorHAnsi"/>
          <w:b/>
          <w:i/>
          <w:sz w:val="24"/>
          <w:szCs w:val="24"/>
        </w:rPr>
        <w:t>Transport Projects</w:t>
      </w:r>
    </w:p>
    <w:p w14:paraId="2CAB5579" w14:textId="0CB2787A" w:rsidR="00FE2006" w:rsidRPr="00CC77E0" w:rsidRDefault="005C36E8" w:rsidP="006465A4">
      <w:pPr>
        <w:jc w:val="both"/>
        <w:rPr>
          <w:rFonts w:asciiTheme="minorHAnsi" w:hAnsiTheme="minorHAnsi" w:cstheme="minorHAnsi"/>
          <w:bCs/>
          <w:iCs/>
          <w:sz w:val="24"/>
          <w:szCs w:val="24"/>
        </w:rPr>
      </w:pPr>
      <w:r w:rsidRPr="00CC77E0">
        <w:rPr>
          <w:rFonts w:asciiTheme="minorHAnsi" w:hAnsiTheme="minorHAnsi" w:cstheme="minorHAnsi"/>
          <w:bCs/>
          <w:iCs/>
          <w:sz w:val="24"/>
          <w:szCs w:val="24"/>
        </w:rPr>
        <w:t>AU has also been involved with the cycle path development running from Bow Street to Aberystwyth through the release of land for project development. Phases 1 &amp; 2 have been completed, with phase 3, Gogerddan Campus to Waunfawr, having started in late 202</w:t>
      </w:r>
      <w:r w:rsidR="0051433D" w:rsidRPr="00CC77E0">
        <w:rPr>
          <w:rFonts w:asciiTheme="minorHAnsi" w:hAnsiTheme="minorHAnsi" w:cstheme="minorHAnsi"/>
          <w:bCs/>
          <w:iCs/>
          <w:sz w:val="24"/>
          <w:szCs w:val="24"/>
        </w:rPr>
        <w:t xml:space="preserve">3. We </w:t>
      </w:r>
      <w:r w:rsidR="006A2447" w:rsidRPr="00CC77E0">
        <w:rPr>
          <w:rFonts w:asciiTheme="minorHAnsi" w:hAnsiTheme="minorHAnsi" w:cstheme="minorHAnsi"/>
          <w:bCs/>
          <w:iCs/>
          <w:sz w:val="24"/>
          <w:szCs w:val="24"/>
        </w:rPr>
        <w:t>now also</w:t>
      </w:r>
      <w:r w:rsidR="0051433D" w:rsidRPr="00CC77E0">
        <w:rPr>
          <w:rFonts w:asciiTheme="minorHAnsi" w:hAnsiTheme="minorHAnsi" w:cstheme="minorHAnsi"/>
          <w:bCs/>
          <w:iCs/>
          <w:sz w:val="24"/>
          <w:szCs w:val="24"/>
        </w:rPr>
        <w:t xml:space="preserve"> have </w:t>
      </w:r>
      <w:r w:rsidR="006A2447" w:rsidRPr="00CC77E0">
        <w:rPr>
          <w:rFonts w:asciiTheme="minorHAnsi" w:hAnsiTheme="minorHAnsi" w:cstheme="minorHAnsi"/>
          <w:bCs/>
          <w:iCs/>
          <w:sz w:val="24"/>
          <w:szCs w:val="24"/>
        </w:rPr>
        <w:t xml:space="preserve">20 EV vehicles in our fleet in addition to continuing our </w:t>
      </w:r>
      <w:r w:rsidR="00CC77E0" w:rsidRPr="00CC77E0">
        <w:rPr>
          <w:rFonts w:asciiTheme="minorHAnsi" w:hAnsiTheme="minorHAnsi" w:cstheme="minorHAnsi"/>
          <w:bCs/>
          <w:iCs/>
          <w:sz w:val="24"/>
          <w:szCs w:val="24"/>
        </w:rPr>
        <w:t xml:space="preserve">EV salary sacrifice scheme. </w:t>
      </w:r>
    </w:p>
    <w:p w14:paraId="79D2CAC2" w14:textId="77777777" w:rsidR="00D90E7A" w:rsidRPr="00261ADB" w:rsidRDefault="00D90E7A" w:rsidP="006465A4">
      <w:pPr>
        <w:jc w:val="both"/>
        <w:rPr>
          <w:rFonts w:asciiTheme="minorHAnsi" w:hAnsiTheme="minorHAnsi" w:cstheme="minorHAnsi"/>
          <w:b/>
          <w:i/>
          <w:sz w:val="24"/>
          <w:szCs w:val="24"/>
        </w:rPr>
      </w:pPr>
    </w:p>
    <w:p w14:paraId="5B4BC5DE" w14:textId="3BD1C72D" w:rsidR="006465A4" w:rsidRPr="00261ADB" w:rsidRDefault="00242285" w:rsidP="006465A4">
      <w:pPr>
        <w:jc w:val="both"/>
        <w:rPr>
          <w:rFonts w:asciiTheme="minorHAnsi" w:hAnsiTheme="minorHAnsi" w:cstheme="minorHAnsi"/>
          <w:b/>
          <w:i/>
          <w:sz w:val="24"/>
          <w:szCs w:val="24"/>
        </w:rPr>
      </w:pPr>
      <w:r w:rsidRPr="00261ADB">
        <w:rPr>
          <w:rFonts w:asciiTheme="minorHAnsi" w:hAnsiTheme="minorHAnsi" w:cstheme="minorHAnsi"/>
          <w:b/>
          <w:i/>
          <w:sz w:val="24"/>
          <w:szCs w:val="24"/>
        </w:rPr>
        <w:t xml:space="preserve">Woodland creation/ </w:t>
      </w:r>
      <w:r w:rsidR="006465A4" w:rsidRPr="00261ADB">
        <w:rPr>
          <w:rFonts w:asciiTheme="minorHAnsi" w:hAnsiTheme="minorHAnsi" w:cstheme="minorHAnsi"/>
          <w:b/>
          <w:i/>
          <w:sz w:val="24"/>
          <w:szCs w:val="24"/>
        </w:rPr>
        <w:t>Tree planting Project – Phase 1</w:t>
      </w:r>
    </w:p>
    <w:p w14:paraId="04F2C7B1" w14:textId="12C70F82" w:rsidR="006465A4" w:rsidRDefault="006465A4" w:rsidP="006465A4">
      <w:pPr>
        <w:jc w:val="both"/>
        <w:rPr>
          <w:rFonts w:asciiTheme="minorHAnsi" w:hAnsiTheme="minorHAnsi" w:cstheme="minorHAnsi"/>
          <w:bCs/>
          <w:iCs/>
          <w:sz w:val="24"/>
          <w:szCs w:val="24"/>
        </w:rPr>
      </w:pPr>
      <w:r w:rsidRPr="00261ADB">
        <w:rPr>
          <w:rFonts w:asciiTheme="minorHAnsi" w:hAnsiTheme="minorHAnsi" w:cstheme="minorHAnsi"/>
          <w:bCs/>
          <w:iCs/>
          <w:sz w:val="24"/>
          <w:szCs w:val="24"/>
        </w:rPr>
        <w:t xml:space="preserve">Phase 1 of our tree-planting project has been completed, with over 16,000 native broadleaf trees planted </w:t>
      </w:r>
      <w:r w:rsidR="00EE3BC2">
        <w:rPr>
          <w:rFonts w:asciiTheme="minorHAnsi" w:hAnsiTheme="minorHAnsi" w:cstheme="minorHAnsi"/>
          <w:bCs/>
          <w:iCs/>
          <w:sz w:val="24"/>
          <w:szCs w:val="24"/>
        </w:rPr>
        <w:t xml:space="preserve">on </w:t>
      </w:r>
      <w:r w:rsidR="00EE3BC2" w:rsidRPr="00BD2E2F">
        <w:rPr>
          <w:rFonts w:asciiTheme="minorHAnsi" w:hAnsiTheme="minorHAnsi" w:cstheme="minorHAnsi"/>
          <w:bCs/>
          <w:iCs/>
          <w:sz w:val="24"/>
          <w:szCs w:val="24"/>
        </w:rPr>
        <w:t xml:space="preserve">unproductive agricultural land </w:t>
      </w:r>
      <w:r w:rsidRPr="00261ADB">
        <w:rPr>
          <w:rFonts w:asciiTheme="minorHAnsi" w:hAnsiTheme="minorHAnsi" w:cstheme="minorHAnsi"/>
          <w:bCs/>
          <w:iCs/>
          <w:sz w:val="24"/>
          <w:szCs w:val="24"/>
        </w:rPr>
        <w:t>under the Glastir Woodland creation scheme</w:t>
      </w:r>
      <w:r w:rsidR="00F2080C" w:rsidRPr="00261ADB">
        <w:rPr>
          <w:rFonts w:asciiTheme="minorHAnsi" w:hAnsiTheme="minorHAnsi" w:cstheme="minorHAnsi"/>
          <w:bCs/>
          <w:iCs/>
          <w:sz w:val="24"/>
          <w:szCs w:val="24"/>
        </w:rPr>
        <w:t xml:space="preserve"> across 3 sites</w:t>
      </w:r>
      <w:r w:rsidRPr="00261ADB">
        <w:rPr>
          <w:rFonts w:asciiTheme="minorHAnsi" w:hAnsiTheme="minorHAnsi" w:cstheme="minorHAnsi"/>
          <w:bCs/>
          <w:iCs/>
          <w:sz w:val="24"/>
          <w:szCs w:val="24"/>
        </w:rPr>
        <w:t xml:space="preserve">. Once mature, the woodland is expected to increase the university’s carbon sequestration capacity by </w:t>
      </w:r>
      <w:r w:rsidR="00F2080C" w:rsidRPr="00261ADB">
        <w:rPr>
          <w:rFonts w:asciiTheme="minorHAnsi" w:hAnsiTheme="minorHAnsi" w:cstheme="minorHAnsi"/>
          <w:bCs/>
          <w:iCs/>
          <w:sz w:val="24"/>
          <w:szCs w:val="24"/>
        </w:rPr>
        <w:t>approx.</w:t>
      </w:r>
      <w:r w:rsidRPr="00261ADB">
        <w:rPr>
          <w:rFonts w:asciiTheme="minorHAnsi" w:hAnsiTheme="minorHAnsi" w:cstheme="minorHAnsi"/>
          <w:bCs/>
          <w:iCs/>
          <w:sz w:val="24"/>
          <w:szCs w:val="24"/>
        </w:rPr>
        <w:t xml:space="preserve"> </w:t>
      </w:r>
      <w:r w:rsidR="00242285" w:rsidRPr="00261ADB">
        <w:rPr>
          <w:rFonts w:asciiTheme="minorHAnsi" w:hAnsiTheme="minorHAnsi" w:cstheme="minorHAnsi"/>
          <w:bCs/>
          <w:iCs/>
          <w:sz w:val="24"/>
          <w:szCs w:val="24"/>
        </w:rPr>
        <w:t>1</w:t>
      </w:r>
      <w:r w:rsidRPr="00261ADB">
        <w:rPr>
          <w:rFonts w:asciiTheme="minorHAnsi" w:hAnsiTheme="minorHAnsi" w:cstheme="minorHAnsi"/>
          <w:bCs/>
          <w:iCs/>
          <w:sz w:val="24"/>
          <w:szCs w:val="24"/>
        </w:rPr>
        <w:t>6</w:t>
      </w:r>
      <w:r w:rsidR="00242285" w:rsidRPr="00261ADB">
        <w:rPr>
          <w:rFonts w:asciiTheme="minorHAnsi" w:hAnsiTheme="minorHAnsi" w:cstheme="minorHAnsi"/>
          <w:bCs/>
          <w:iCs/>
          <w:sz w:val="24"/>
          <w:szCs w:val="24"/>
        </w:rPr>
        <w:t xml:space="preserve"> t</w:t>
      </w:r>
      <w:r w:rsidRPr="00261ADB">
        <w:rPr>
          <w:rFonts w:asciiTheme="minorHAnsi" w:hAnsiTheme="minorHAnsi" w:cstheme="minorHAnsi"/>
          <w:bCs/>
          <w:iCs/>
          <w:sz w:val="24"/>
          <w:szCs w:val="24"/>
        </w:rPr>
        <w:t>CO2e per annum. Native</w:t>
      </w:r>
      <w:r w:rsidR="00EE3BC2">
        <w:rPr>
          <w:rFonts w:asciiTheme="minorHAnsi" w:hAnsiTheme="minorHAnsi" w:cstheme="minorHAnsi"/>
          <w:bCs/>
          <w:iCs/>
          <w:sz w:val="24"/>
          <w:szCs w:val="24"/>
        </w:rPr>
        <w:t xml:space="preserve"> broadleaf</w:t>
      </w:r>
      <w:r w:rsidRPr="00261ADB">
        <w:rPr>
          <w:rFonts w:asciiTheme="minorHAnsi" w:hAnsiTheme="minorHAnsi" w:cstheme="minorHAnsi"/>
          <w:bCs/>
          <w:iCs/>
          <w:sz w:val="24"/>
          <w:szCs w:val="24"/>
        </w:rPr>
        <w:t xml:space="preserve"> trees were identified and planted to enhance the area’s local </w:t>
      </w:r>
      <w:r w:rsidR="00F11D47" w:rsidRPr="00261ADB">
        <w:rPr>
          <w:rFonts w:asciiTheme="minorHAnsi" w:hAnsiTheme="minorHAnsi" w:cstheme="minorHAnsi"/>
          <w:bCs/>
          <w:iCs/>
          <w:sz w:val="24"/>
          <w:szCs w:val="24"/>
        </w:rPr>
        <w:t>biodiversity,</w:t>
      </w:r>
      <w:r w:rsidRPr="00261ADB">
        <w:rPr>
          <w:rFonts w:asciiTheme="minorHAnsi" w:hAnsiTheme="minorHAnsi" w:cstheme="minorHAnsi"/>
          <w:bCs/>
          <w:iCs/>
          <w:sz w:val="24"/>
          <w:szCs w:val="24"/>
        </w:rPr>
        <w:t xml:space="preserve"> providing habitats to wildlife and reducing potential soil erosion in the area. </w:t>
      </w:r>
    </w:p>
    <w:p w14:paraId="2136D496" w14:textId="77777777" w:rsidR="005E57D7" w:rsidRPr="00CC77E0" w:rsidRDefault="005E57D7" w:rsidP="006465A4">
      <w:pPr>
        <w:jc w:val="both"/>
        <w:rPr>
          <w:rFonts w:asciiTheme="minorHAnsi" w:hAnsiTheme="minorHAnsi" w:cstheme="minorHAnsi"/>
          <w:bCs/>
          <w:iCs/>
          <w:sz w:val="24"/>
          <w:szCs w:val="24"/>
        </w:rPr>
      </w:pPr>
    </w:p>
    <w:p w14:paraId="2F0A2E9C" w14:textId="77777777" w:rsidR="00322AA6" w:rsidRPr="00CC77E0" w:rsidRDefault="00322AA6" w:rsidP="006465A4">
      <w:pPr>
        <w:jc w:val="both"/>
        <w:rPr>
          <w:rFonts w:asciiTheme="minorHAnsi" w:hAnsiTheme="minorHAnsi" w:cstheme="minorHAnsi"/>
          <w:b/>
          <w:iCs/>
          <w:sz w:val="24"/>
          <w:szCs w:val="24"/>
        </w:rPr>
      </w:pPr>
      <w:r w:rsidRPr="00CC77E0">
        <w:rPr>
          <w:rFonts w:asciiTheme="minorHAnsi" w:hAnsiTheme="minorHAnsi" w:cstheme="minorHAnsi"/>
          <w:b/>
          <w:i/>
          <w:sz w:val="24"/>
          <w:szCs w:val="24"/>
        </w:rPr>
        <w:t>Bespoke Lighting Projects</w:t>
      </w:r>
    </w:p>
    <w:p w14:paraId="1FA4C753" w14:textId="4AB1783E" w:rsidR="00322AA6" w:rsidRPr="00CC77E0" w:rsidRDefault="00322AA6" w:rsidP="006465A4">
      <w:pPr>
        <w:jc w:val="both"/>
        <w:rPr>
          <w:rFonts w:asciiTheme="minorHAnsi" w:hAnsiTheme="minorHAnsi" w:cstheme="minorHAnsi"/>
          <w:bCs/>
          <w:iCs/>
          <w:sz w:val="24"/>
          <w:szCs w:val="24"/>
        </w:rPr>
      </w:pPr>
      <w:r w:rsidRPr="00CC77E0">
        <w:rPr>
          <w:rFonts w:asciiTheme="minorHAnsi" w:hAnsiTheme="minorHAnsi" w:cstheme="minorHAnsi"/>
          <w:bCs/>
          <w:iCs/>
          <w:sz w:val="24"/>
          <w:szCs w:val="24"/>
        </w:rPr>
        <w:t xml:space="preserve">This </w:t>
      </w:r>
      <w:r w:rsidR="00411C11" w:rsidRPr="00CC77E0">
        <w:rPr>
          <w:rFonts w:asciiTheme="minorHAnsi" w:hAnsiTheme="minorHAnsi" w:cstheme="minorHAnsi"/>
          <w:bCs/>
          <w:iCs/>
          <w:sz w:val="24"/>
          <w:szCs w:val="24"/>
        </w:rPr>
        <w:t>year, we have invested a further £45k into further upgrades to our plant growth facility’s lighting, with 132 lights replaced and estimated 18tCO2e. This leads on from our work last year where we invested £110,000 in replacing inefficient lighting in some of our plant growth facilities with LED lighting to reduce emissions by around 94tCO2e.</w:t>
      </w:r>
    </w:p>
    <w:p w14:paraId="1F220936" w14:textId="77777777" w:rsidR="00FB5084" w:rsidRPr="00CC77E0" w:rsidRDefault="00FB5084" w:rsidP="006465A4">
      <w:pPr>
        <w:jc w:val="both"/>
        <w:rPr>
          <w:rFonts w:asciiTheme="minorHAnsi" w:hAnsiTheme="minorHAnsi" w:cstheme="minorHAnsi"/>
          <w:bCs/>
          <w:iCs/>
          <w:sz w:val="24"/>
          <w:szCs w:val="24"/>
        </w:rPr>
      </w:pPr>
    </w:p>
    <w:p w14:paraId="1C506E13" w14:textId="77777777" w:rsidR="00FB5084" w:rsidRPr="00CC77E0" w:rsidRDefault="00FB5084" w:rsidP="00FB5084">
      <w:pPr>
        <w:jc w:val="both"/>
        <w:rPr>
          <w:rFonts w:asciiTheme="minorHAnsi" w:hAnsiTheme="minorHAnsi" w:cstheme="minorHAnsi"/>
          <w:b/>
          <w:i/>
          <w:iCs/>
          <w:sz w:val="24"/>
          <w:szCs w:val="24"/>
        </w:rPr>
      </w:pPr>
      <w:r w:rsidRPr="00CC77E0">
        <w:rPr>
          <w:rFonts w:asciiTheme="minorHAnsi" w:hAnsiTheme="minorHAnsi" w:cstheme="minorHAnsi"/>
          <w:b/>
          <w:i/>
          <w:iCs/>
          <w:sz w:val="24"/>
          <w:szCs w:val="24"/>
        </w:rPr>
        <w:t>Sustainable Travel Policy</w:t>
      </w:r>
    </w:p>
    <w:p w14:paraId="549B903D" w14:textId="77777777" w:rsidR="00FB5084" w:rsidRPr="00CC77E0" w:rsidRDefault="00FB5084" w:rsidP="00FB5084">
      <w:pPr>
        <w:jc w:val="both"/>
        <w:rPr>
          <w:rFonts w:asciiTheme="minorHAnsi" w:hAnsiTheme="minorHAnsi" w:cstheme="minorHAnsi"/>
          <w:bCs/>
          <w:sz w:val="24"/>
          <w:szCs w:val="24"/>
        </w:rPr>
      </w:pPr>
      <w:r w:rsidRPr="00CC77E0">
        <w:rPr>
          <w:rFonts w:asciiTheme="minorHAnsi" w:hAnsiTheme="minorHAnsi" w:cstheme="minorHAnsi"/>
          <w:bCs/>
          <w:sz w:val="24"/>
          <w:szCs w:val="24"/>
        </w:rPr>
        <w:t>This year we updated our travel policy to include sustainability measures, including the travel hierarchy, not permitting flights between mainland Britain unless there are extenuating circumstances, and that all travel funded by the university will be booked through AU’s travel management company so that we can monitor carbon emissions and make efficiencies when possible.</w:t>
      </w:r>
    </w:p>
    <w:p w14:paraId="713AA5FB" w14:textId="77777777" w:rsidR="005C36E8" w:rsidRPr="002643DC" w:rsidRDefault="005C36E8" w:rsidP="00FB5084">
      <w:pPr>
        <w:jc w:val="both"/>
        <w:rPr>
          <w:rFonts w:asciiTheme="minorHAnsi" w:hAnsiTheme="minorHAnsi" w:cstheme="minorHAnsi"/>
          <w:bCs/>
          <w:color w:val="4472C4" w:themeColor="accent1"/>
          <w:sz w:val="24"/>
          <w:szCs w:val="24"/>
        </w:rPr>
      </w:pPr>
    </w:p>
    <w:p w14:paraId="57A97DEA" w14:textId="77777777" w:rsidR="00FB5084" w:rsidRPr="00322AA6" w:rsidRDefault="00FB5084" w:rsidP="006465A4">
      <w:pPr>
        <w:jc w:val="both"/>
        <w:rPr>
          <w:rFonts w:asciiTheme="minorHAnsi" w:hAnsiTheme="minorHAnsi" w:cstheme="minorHAnsi"/>
          <w:bCs/>
          <w:iCs/>
          <w:sz w:val="24"/>
          <w:szCs w:val="24"/>
        </w:rPr>
      </w:pPr>
    </w:p>
    <w:p w14:paraId="2B6FB25D" w14:textId="77777777" w:rsidR="00322AA6" w:rsidRPr="00261ADB" w:rsidRDefault="00322AA6" w:rsidP="006465A4">
      <w:pPr>
        <w:jc w:val="both"/>
        <w:rPr>
          <w:rFonts w:asciiTheme="minorHAnsi" w:hAnsiTheme="minorHAnsi" w:cstheme="minorHAnsi"/>
          <w:bCs/>
          <w:iCs/>
          <w:sz w:val="24"/>
          <w:szCs w:val="24"/>
        </w:rPr>
      </w:pPr>
    </w:p>
    <w:p w14:paraId="0D1500E6" w14:textId="3932A3BF" w:rsidR="006465A4" w:rsidRPr="00261ADB" w:rsidRDefault="006465A4" w:rsidP="006465A4">
      <w:pPr>
        <w:pStyle w:val="ListParagraph"/>
        <w:numPr>
          <w:ilvl w:val="0"/>
          <w:numId w:val="2"/>
        </w:numPr>
        <w:jc w:val="both"/>
        <w:rPr>
          <w:rFonts w:asciiTheme="minorHAnsi" w:hAnsiTheme="minorHAnsi" w:cstheme="minorHAnsi"/>
          <w:b/>
          <w:bCs/>
          <w:sz w:val="24"/>
          <w:szCs w:val="24"/>
          <w:u w:val="single"/>
        </w:rPr>
      </w:pPr>
      <w:r w:rsidRPr="00261ADB">
        <w:rPr>
          <w:rFonts w:asciiTheme="minorHAnsi" w:hAnsiTheme="minorHAnsi" w:cstheme="minorHAnsi"/>
          <w:b/>
          <w:bCs/>
          <w:sz w:val="24"/>
          <w:szCs w:val="24"/>
          <w:u w:val="single"/>
        </w:rPr>
        <w:t xml:space="preserve">Planned </w:t>
      </w:r>
      <w:r w:rsidRPr="00261ADB">
        <w:rPr>
          <w:rFonts w:asciiTheme="minorHAnsi" w:hAnsiTheme="minorHAnsi" w:cstheme="minorHAnsi"/>
          <w:b/>
          <w:sz w:val="24"/>
          <w:szCs w:val="24"/>
          <w:u w:val="single"/>
        </w:rPr>
        <w:t>Carbon Reduction Projects</w:t>
      </w:r>
      <w:r w:rsidR="00257178">
        <w:rPr>
          <w:rFonts w:asciiTheme="minorHAnsi" w:hAnsiTheme="minorHAnsi" w:cstheme="minorHAnsi"/>
          <w:b/>
          <w:sz w:val="24"/>
          <w:szCs w:val="24"/>
          <w:u w:val="single"/>
        </w:rPr>
        <w:t xml:space="preserve"> and Improvements</w:t>
      </w:r>
    </w:p>
    <w:p w14:paraId="6508967C" w14:textId="77777777" w:rsidR="006D0A5F" w:rsidRDefault="006D0A5F" w:rsidP="006465A4">
      <w:pPr>
        <w:jc w:val="both"/>
        <w:rPr>
          <w:rFonts w:asciiTheme="minorHAnsi" w:hAnsiTheme="minorHAnsi" w:cstheme="minorHAnsi"/>
          <w:b/>
          <w:i/>
          <w:sz w:val="24"/>
          <w:szCs w:val="24"/>
        </w:rPr>
      </w:pPr>
    </w:p>
    <w:p w14:paraId="4268BF92" w14:textId="7404539D" w:rsidR="006465A4" w:rsidRPr="00261ADB" w:rsidRDefault="006465A4" w:rsidP="006465A4">
      <w:pPr>
        <w:jc w:val="both"/>
        <w:rPr>
          <w:rFonts w:asciiTheme="minorHAnsi" w:hAnsiTheme="minorHAnsi" w:cstheme="minorHAnsi"/>
          <w:b/>
          <w:i/>
          <w:sz w:val="24"/>
          <w:szCs w:val="24"/>
        </w:rPr>
      </w:pPr>
      <w:r w:rsidRPr="00261ADB">
        <w:rPr>
          <w:rFonts w:asciiTheme="minorHAnsi" w:hAnsiTheme="minorHAnsi" w:cstheme="minorHAnsi"/>
          <w:b/>
          <w:i/>
          <w:sz w:val="24"/>
          <w:szCs w:val="24"/>
        </w:rPr>
        <w:t>Tree planting Project – Phase 2</w:t>
      </w:r>
    </w:p>
    <w:p w14:paraId="51875E2F" w14:textId="7609434F" w:rsidR="00550EFF" w:rsidRPr="00261ADB" w:rsidRDefault="006465A4" w:rsidP="006465A4">
      <w:pPr>
        <w:jc w:val="both"/>
        <w:rPr>
          <w:rFonts w:asciiTheme="minorHAnsi" w:hAnsiTheme="minorHAnsi" w:cstheme="minorHAnsi"/>
          <w:bCs/>
          <w:iCs/>
          <w:sz w:val="24"/>
          <w:szCs w:val="24"/>
        </w:rPr>
      </w:pPr>
      <w:r w:rsidRPr="00261ADB">
        <w:rPr>
          <w:rFonts w:asciiTheme="minorHAnsi" w:hAnsiTheme="minorHAnsi" w:cstheme="minorHAnsi"/>
          <w:bCs/>
          <w:iCs/>
          <w:sz w:val="24"/>
          <w:szCs w:val="24"/>
        </w:rPr>
        <w:t xml:space="preserve">Subject to approval under the Glastir woodland creation scheme, we are hoping to plant an additional </w:t>
      </w:r>
      <w:r w:rsidR="00BD2E2F">
        <w:rPr>
          <w:rFonts w:asciiTheme="minorHAnsi" w:hAnsiTheme="minorHAnsi" w:cstheme="minorHAnsi"/>
          <w:bCs/>
          <w:iCs/>
          <w:sz w:val="24"/>
          <w:szCs w:val="24"/>
        </w:rPr>
        <w:t>8</w:t>
      </w:r>
      <w:r w:rsidRPr="00261ADB">
        <w:rPr>
          <w:rFonts w:asciiTheme="minorHAnsi" w:hAnsiTheme="minorHAnsi" w:cstheme="minorHAnsi"/>
          <w:bCs/>
          <w:iCs/>
          <w:sz w:val="24"/>
          <w:szCs w:val="24"/>
        </w:rPr>
        <w:t>0,000 trees</w:t>
      </w:r>
      <w:r w:rsidR="00BD2E2F">
        <w:rPr>
          <w:rFonts w:asciiTheme="minorHAnsi" w:hAnsiTheme="minorHAnsi" w:cstheme="minorHAnsi"/>
          <w:bCs/>
          <w:iCs/>
          <w:sz w:val="24"/>
          <w:szCs w:val="24"/>
        </w:rPr>
        <w:t xml:space="preserve"> predominantly</w:t>
      </w:r>
      <w:r w:rsidR="00257178">
        <w:rPr>
          <w:rFonts w:asciiTheme="minorHAnsi" w:hAnsiTheme="minorHAnsi" w:cstheme="minorHAnsi"/>
          <w:bCs/>
          <w:iCs/>
          <w:sz w:val="24"/>
          <w:szCs w:val="24"/>
        </w:rPr>
        <w:t xml:space="preserve"> </w:t>
      </w:r>
      <w:r w:rsidR="00EE3BC2" w:rsidRPr="00EE3BC2">
        <w:rPr>
          <w:rFonts w:asciiTheme="minorHAnsi" w:hAnsiTheme="minorHAnsi" w:cstheme="minorHAnsi"/>
          <w:bCs/>
          <w:iCs/>
          <w:sz w:val="24"/>
          <w:szCs w:val="24"/>
        </w:rPr>
        <w:t xml:space="preserve">on unproductive agricultural land </w:t>
      </w:r>
      <w:r w:rsidRPr="00261ADB">
        <w:rPr>
          <w:rFonts w:asciiTheme="minorHAnsi" w:hAnsiTheme="minorHAnsi" w:cstheme="minorHAnsi"/>
          <w:bCs/>
          <w:iCs/>
          <w:sz w:val="24"/>
          <w:szCs w:val="24"/>
        </w:rPr>
        <w:t>across Rhydyronnen</w:t>
      </w:r>
      <w:r w:rsidR="006D0A5F">
        <w:rPr>
          <w:rFonts w:asciiTheme="minorHAnsi" w:hAnsiTheme="minorHAnsi" w:cstheme="minorHAnsi"/>
          <w:bCs/>
          <w:iCs/>
          <w:sz w:val="24"/>
          <w:szCs w:val="24"/>
        </w:rPr>
        <w:t xml:space="preserve"> and </w:t>
      </w:r>
      <w:proofErr w:type="spellStart"/>
      <w:r w:rsidR="006D0A5F">
        <w:rPr>
          <w:rFonts w:asciiTheme="minorHAnsi" w:hAnsiTheme="minorHAnsi" w:cstheme="minorHAnsi"/>
          <w:bCs/>
          <w:iCs/>
          <w:sz w:val="24"/>
          <w:szCs w:val="24"/>
        </w:rPr>
        <w:t>Frongog</w:t>
      </w:r>
      <w:proofErr w:type="spellEnd"/>
      <w:r w:rsidRPr="00261ADB">
        <w:rPr>
          <w:rFonts w:asciiTheme="minorHAnsi" w:hAnsiTheme="minorHAnsi" w:cstheme="minorHAnsi"/>
          <w:bCs/>
          <w:iCs/>
          <w:sz w:val="24"/>
          <w:szCs w:val="24"/>
        </w:rPr>
        <w:t xml:space="preserve"> over the next winter. The proposal would increase carbon sequestration by </w:t>
      </w:r>
      <w:r w:rsidR="00F11D47">
        <w:rPr>
          <w:rFonts w:asciiTheme="minorHAnsi" w:hAnsiTheme="minorHAnsi" w:cstheme="minorHAnsi"/>
          <w:bCs/>
          <w:iCs/>
          <w:sz w:val="24"/>
          <w:szCs w:val="24"/>
        </w:rPr>
        <w:t xml:space="preserve">approx. </w:t>
      </w:r>
      <w:r w:rsidR="006D0A5F">
        <w:rPr>
          <w:rFonts w:asciiTheme="minorHAnsi" w:hAnsiTheme="minorHAnsi" w:cstheme="minorHAnsi"/>
          <w:bCs/>
          <w:iCs/>
          <w:sz w:val="24"/>
          <w:szCs w:val="24"/>
        </w:rPr>
        <w:t>8</w:t>
      </w:r>
      <w:r w:rsidRPr="00261ADB">
        <w:rPr>
          <w:rFonts w:asciiTheme="minorHAnsi" w:hAnsiTheme="minorHAnsi" w:cstheme="minorHAnsi"/>
          <w:bCs/>
          <w:iCs/>
          <w:sz w:val="24"/>
          <w:szCs w:val="24"/>
        </w:rPr>
        <w:t xml:space="preserve">0 tCO2e per annum along with being a key component of our biodiversity enhancement activity.  As </w:t>
      </w:r>
      <w:r w:rsidRPr="00261ADB">
        <w:rPr>
          <w:rFonts w:asciiTheme="minorHAnsi" w:hAnsiTheme="minorHAnsi" w:cstheme="minorHAnsi"/>
          <w:bCs/>
          <w:iCs/>
          <w:sz w:val="24"/>
          <w:szCs w:val="24"/>
        </w:rPr>
        <w:lastRenderedPageBreak/>
        <w:t xml:space="preserve">with Phase 1, these trees will be </w:t>
      </w:r>
      <w:r w:rsidR="00F11D47">
        <w:rPr>
          <w:rFonts w:asciiTheme="minorHAnsi" w:hAnsiTheme="minorHAnsi" w:cstheme="minorHAnsi"/>
          <w:bCs/>
          <w:iCs/>
          <w:sz w:val="24"/>
          <w:szCs w:val="24"/>
        </w:rPr>
        <w:t>predominantly native broadleaf</w:t>
      </w:r>
      <w:r w:rsidR="00EE3BC2">
        <w:rPr>
          <w:rFonts w:asciiTheme="minorHAnsi" w:hAnsiTheme="minorHAnsi" w:cstheme="minorHAnsi"/>
          <w:bCs/>
          <w:iCs/>
          <w:sz w:val="24"/>
          <w:szCs w:val="24"/>
        </w:rPr>
        <w:t xml:space="preserve"> </w:t>
      </w:r>
      <w:r w:rsidR="00EE3BC2" w:rsidRPr="00EE3BC2">
        <w:rPr>
          <w:rFonts w:asciiTheme="minorHAnsi" w:hAnsiTheme="minorHAnsi" w:cstheme="minorHAnsi"/>
          <w:bCs/>
          <w:iCs/>
          <w:sz w:val="24"/>
          <w:szCs w:val="24"/>
        </w:rPr>
        <w:t xml:space="preserve">that will also </w:t>
      </w:r>
      <w:r w:rsidR="00EE3BC2">
        <w:rPr>
          <w:rFonts w:asciiTheme="minorHAnsi" w:hAnsiTheme="minorHAnsi" w:cstheme="minorHAnsi"/>
          <w:bCs/>
          <w:iCs/>
          <w:sz w:val="24"/>
          <w:szCs w:val="24"/>
        </w:rPr>
        <w:t xml:space="preserve">help to </w:t>
      </w:r>
      <w:r w:rsidR="00EE3BC2" w:rsidRPr="00EE3BC2">
        <w:rPr>
          <w:rFonts w:asciiTheme="minorHAnsi" w:hAnsiTheme="minorHAnsi" w:cstheme="minorHAnsi"/>
          <w:bCs/>
          <w:iCs/>
          <w:sz w:val="24"/>
          <w:szCs w:val="24"/>
        </w:rPr>
        <w:t>enhance biodiversity</w:t>
      </w:r>
      <w:r w:rsidRPr="00261ADB">
        <w:rPr>
          <w:rFonts w:asciiTheme="minorHAnsi" w:hAnsiTheme="minorHAnsi" w:cstheme="minorHAnsi"/>
          <w:bCs/>
          <w:iCs/>
          <w:sz w:val="24"/>
          <w:szCs w:val="24"/>
        </w:rPr>
        <w:t>.</w:t>
      </w:r>
    </w:p>
    <w:p w14:paraId="24E43D4C" w14:textId="77777777" w:rsidR="00F2080C" w:rsidRPr="00261ADB" w:rsidRDefault="00F2080C" w:rsidP="006465A4">
      <w:pPr>
        <w:jc w:val="both"/>
        <w:rPr>
          <w:rFonts w:asciiTheme="minorHAnsi" w:hAnsiTheme="minorHAnsi" w:cstheme="minorHAnsi"/>
          <w:b/>
          <w:i/>
          <w:sz w:val="24"/>
          <w:szCs w:val="24"/>
        </w:rPr>
      </w:pPr>
    </w:p>
    <w:p w14:paraId="3558268F" w14:textId="77777777" w:rsidR="006465A4" w:rsidRPr="00261ADB" w:rsidRDefault="006465A4" w:rsidP="006465A4">
      <w:pPr>
        <w:jc w:val="both"/>
        <w:rPr>
          <w:rFonts w:asciiTheme="minorHAnsi" w:hAnsiTheme="minorHAnsi" w:cstheme="minorHAnsi"/>
          <w:b/>
          <w:i/>
          <w:sz w:val="24"/>
          <w:szCs w:val="24"/>
        </w:rPr>
      </w:pPr>
      <w:r w:rsidRPr="00261ADB">
        <w:rPr>
          <w:rFonts w:asciiTheme="minorHAnsi" w:hAnsiTheme="minorHAnsi" w:cstheme="minorHAnsi"/>
          <w:b/>
          <w:i/>
          <w:sz w:val="24"/>
          <w:szCs w:val="24"/>
        </w:rPr>
        <w:t>REFIT Phase 3</w:t>
      </w:r>
    </w:p>
    <w:p w14:paraId="521DA97B" w14:textId="6A0FBFC0" w:rsidR="00FE2006" w:rsidRPr="00257178" w:rsidRDefault="006465A4" w:rsidP="006465A4">
      <w:pPr>
        <w:jc w:val="both"/>
        <w:rPr>
          <w:rFonts w:asciiTheme="minorHAnsi" w:hAnsiTheme="minorHAnsi" w:cstheme="minorHAnsi"/>
          <w:bCs/>
          <w:iCs/>
          <w:color w:val="4472C4" w:themeColor="accent1"/>
          <w:sz w:val="24"/>
          <w:szCs w:val="24"/>
        </w:rPr>
      </w:pPr>
      <w:r w:rsidRPr="00261ADB">
        <w:rPr>
          <w:rFonts w:asciiTheme="minorHAnsi" w:hAnsiTheme="minorHAnsi" w:cstheme="minorHAnsi"/>
          <w:bCs/>
          <w:iCs/>
          <w:sz w:val="24"/>
          <w:szCs w:val="24"/>
        </w:rPr>
        <w:t xml:space="preserve">Working with our REFIT contracted partner ‘Vital Energi’, we </w:t>
      </w:r>
      <w:r w:rsidR="004256ED">
        <w:rPr>
          <w:rFonts w:asciiTheme="minorHAnsi" w:hAnsiTheme="minorHAnsi" w:cstheme="minorHAnsi"/>
          <w:bCs/>
          <w:iCs/>
          <w:sz w:val="24"/>
          <w:szCs w:val="24"/>
        </w:rPr>
        <w:t>are</w:t>
      </w:r>
      <w:r w:rsidRPr="00261ADB">
        <w:rPr>
          <w:rFonts w:asciiTheme="minorHAnsi" w:hAnsiTheme="minorHAnsi" w:cstheme="minorHAnsi"/>
          <w:bCs/>
          <w:iCs/>
          <w:sz w:val="24"/>
          <w:szCs w:val="24"/>
        </w:rPr>
        <w:t xml:space="preserve"> </w:t>
      </w:r>
      <w:r w:rsidR="006D0A5F">
        <w:rPr>
          <w:rFonts w:asciiTheme="minorHAnsi" w:hAnsiTheme="minorHAnsi" w:cstheme="minorHAnsi"/>
          <w:bCs/>
          <w:iCs/>
          <w:sz w:val="24"/>
          <w:szCs w:val="24"/>
        </w:rPr>
        <w:t>planning to carry out a</w:t>
      </w:r>
      <w:r w:rsidRPr="00261ADB">
        <w:rPr>
          <w:rFonts w:asciiTheme="minorHAnsi" w:hAnsiTheme="minorHAnsi" w:cstheme="minorHAnsi"/>
          <w:bCs/>
          <w:iCs/>
          <w:sz w:val="24"/>
          <w:szCs w:val="24"/>
        </w:rPr>
        <w:t xml:space="preserve"> 3</w:t>
      </w:r>
      <w:r w:rsidRPr="00261ADB">
        <w:rPr>
          <w:rFonts w:asciiTheme="minorHAnsi" w:hAnsiTheme="minorHAnsi" w:cstheme="minorHAnsi"/>
          <w:bCs/>
          <w:iCs/>
          <w:sz w:val="24"/>
          <w:szCs w:val="24"/>
          <w:vertAlign w:val="superscript"/>
        </w:rPr>
        <w:t>rd</w:t>
      </w:r>
      <w:r w:rsidRPr="00261ADB">
        <w:rPr>
          <w:rFonts w:asciiTheme="minorHAnsi" w:hAnsiTheme="minorHAnsi" w:cstheme="minorHAnsi"/>
          <w:bCs/>
          <w:iCs/>
          <w:sz w:val="24"/>
          <w:szCs w:val="24"/>
        </w:rPr>
        <w:t xml:space="preserve"> phase of large-scale </w:t>
      </w:r>
      <w:r w:rsidR="004256ED">
        <w:rPr>
          <w:rFonts w:asciiTheme="minorHAnsi" w:hAnsiTheme="minorHAnsi" w:cstheme="minorHAnsi"/>
          <w:bCs/>
          <w:iCs/>
          <w:sz w:val="24"/>
          <w:szCs w:val="24"/>
        </w:rPr>
        <w:t>energy efficiency activity</w:t>
      </w:r>
      <w:r w:rsidRPr="00261ADB">
        <w:rPr>
          <w:rFonts w:asciiTheme="minorHAnsi" w:hAnsiTheme="minorHAnsi" w:cstheme="minorHAnsi"/>
          <w:bCs/>
          <w:iCs/>
          <w:sz w:val="24"/>
          <w:szCs w:val="24"/>
        </w:rPr>
        <w:t xml:space="preserve">. </w:t>
      </w:r>
      <w:r w:rsidR="006D0A5F">
        <w:rPr>
          <w:rFonts w:asciiTheme="minorHAnsi" w:hAnsiTheme="minorHAnsi" w:cstheme="minorHAnsi"/>
          <w:bCs/>
          <w:iCs/>
          <w:sz w:val="24"/>
          <w:szCs w:val="24"/>
        </w:rPr>
        <w:t>T</w:t>
      </w:r>
      <w:r w:rsidR="00F2080C" w:rsidRPr="00261ADB">
        <w:rPr>
          <w:rFonts w:asciiTheme="minorHAnsi" w:hAnsiTheme="minorHAnsi" w:cstheme="minorHAnsi"/>
          <w:bCs/>
          <w:iCs/>
          <w:sz w:val="24"/>
          <w:szCs w:val="24"/>
        </w:rPr>
        <w:t xml:space="preserve">he </w:t>
      </w:r>
      <w:r w:rsidR="00CC77E0" w:rsidRPr="00261ADB">
        <w:rPr>
          <w:rFonts w:asciiTheme="minorHAnsi" w:hAnsiTheme="minorHAnsi" w:cstheme="minorHAnsi"/>
          <w:bCs/>
          <w:iCs/>
          <w:sz w:val="24"/>
          <w:szCs w:val="24"/>
        </w:rPr>
        <w:t>project includes</w:t>
      </w:r>
      <w:r w:rsidR="00F2080C" w:rsidRPr="00261ADB">
        <w:rPr>
          <w:rFonts w:asciiTheme="minorHAnsi" w:hAnsiTheme="minorHAnsi" w:cstheme="minorHAnsi"/>
          <w:bCs/>
          <w:iCs/>
          <w:sz w:val="24"/>
          <w:szCs w:val="24"/>
        </w:rPr>
        <w:t xml:space="preserve"> large</w:t>
      </w:r>
      <w:r w:rsidRPr="00261ADB">
        <w:rPr>
          <w:rFonts w:asciiTheme="minorHAnsi" w:hAnsiTheme="minorHAnsi" w:cstheme="minorHAnsi"/>
          <w:bCs/>
          <w:iCs/>
          <w:sz w:val="24"/>
          <w:szCs w:val="24"/>
        </w:rPr>
        <w:t>-scale LED lighting upgrade</w:t>
      </w:r>
      <w:r w:rsidR="00F2080C" w:rsidRPr="00261ADB">
        <w:rPr>
          <w:rFonts w:asciiTheme="minorHAnsi" w:hAnsiTheme="minorHAnsi" w:cstheme="minorHAnsi"/>
          <w:bCs/>
          <w:iCs/>
          <w:sz w:val="24"/>
          <w:szCs w:val="24"/>
        </w:rPr>
        <w:t>s</w:t>
      </w:r>
      <w:r w:rsidRPr="00261ADB">
        <w:rPr>
          <w:rFonts w:asciiTheme="minorHAnsi" w:hAnsiTheme="minorHAnsi" w:cstheme="minorHAnsi"/>
          <w:bCs/>
          <w:iCs/>
          <w:sz w:val="24"/>
          <w:szCs w:val="24"/>
        </w:rPr>
        <w:t xml:space="preserve"> across the university estate, in conjunction with a rooftop solar PV system and improvements to pipework and heating insulation. </w:t>
      </w:r>
      <w:r w:rsidR="006D0A5F" w:rsidRPr="00CC77E0">
        <w:rPr>
          <w:rFonts w:asciiTheme="minorHAnsi" w:hAnsiTheme="minorHAnsi" w:cstheme="minorHAnsi"/>
          <w:bCs/>
          <w:iCs/>
          <w:sz w:val="24"/>
          <w:szCs w:val="24"/>
        </w:rPr>
        <w:t>The works also include further upgrades to our plant growth facility’s lighting, with 132 lights replaced and estimated 18tCO2e. This leads on from our work last year where we invested £110,000 in replacing inefficient lighting in some of our plant growth facilities with LED lighting to reduce emissions by around 94tCO2e.</w:t>
      </w:r>
      <w:r w:rsidR="00257178">
        <w:rPr>
          <w:rFonts w:asciiTheme="minorHAnsi" w:hAnsiTheme="minorHAnsi" w:cstheme="minorHAnsi"/>
          <w:bCs/>
          <w:iCs/>
          <w:color w:val="4472C4" w:themeColor="accent1"/>
          <w:sz w:val="24"/>
          <w:szCs w:val="24"/>
        </w:rPr>
        <w:t xml:space="preserve"> </w:t>
      </w:r>
      <w:r w:rsidR="006D0A5F">
        <w:rPr>
          <w:rFonts w:asciiTheme="minorHAnsi" w:hAnsiTheme="minorHAnsi" w:cstheme="minorHAnsi"/>
          <w:bCs/>
          <w:iCs/>
          <w:sz w:val="24"/>
          <w:szCs w:val="24"/>
        </w:rPr>
        <w:t>T</w:t>
      </w:r>
      <w:r w:rsidRPr="00261ADB">
        <w:rPr>
          <w:rFonts w:asciiTheme="minorHAnsi" w:hAnsiTheme="minorHAnsi" w:cstheme="minorHAnsi"/>
          <w:bCs/>
          <w:iCs/>
          <w:sz w:val="24"/>
          <w:szCs w:val="24"/>
        </w:rPr>
        <w:t xml:space="preserve">hese improvements </w:t>
      </w:r>
      <w:r w:rsidR="006D0A5F">
        <w:rPr>
          <w:rFonts w:asciiTheme="minorHAnsi" w:hAnsiTheme="minorHAnsi" w:cstheme="minorHAnsi"/>
          <w:bCs/>
          <w:iCs/>
          <w:sz w:val="24"/>
          <w:szCs w:val="24"/>
        </w:rPr>
        <w:t>will</w:t>
      </w:r>
      <w:r w:rsidR="006D0A5F" w:rsidRPr="00261ADB">
        <w:rPr>
          <w:rFonts w:asciiTheme="minorHAnsi" w:hAnsiTheme="minorHAnsi" w:cstheme="minorHAnsi"/>
          <w:bCs/>
          <w:iCs/>
          <w:sz w:val="24"/>
          <w:szCs w:val="24"/>
        </w:rPr>
        <w:t xml:space="preserve"> </w:t>
      </w:r>
      <w:r w:rsidR="00F2080C" w:rsidRPr="00261ADB">
        <w:rPr>
          <w:rFonts w:asciiTheme="minorHAnsi" w:hAnsiTheme="minorHAnsi" w:cstheme="minorHAnsi"/>
          <w:bCs/>
          <w:iCs/>
          <w:sz w:val="24"/>
          <w:szCs w:val="24"/>
        </w:rPr>
        <w:t xml:space="preserve">significantly </w:t>
      </w:r>
      <w:r w:rsidRPr="00261ADB">
        <w:rPr>
          <w:rFonts w:asciiTheme="minorHAnsi" w:hAnsiTheme="minorHAnsi" w:cstheme="minorHAnsi"/>
          <w:bCs/>
          <w:iCs/>
          <w:sz w:val="24"/>
          <w:szCs w:val="24"/>
        </w:rPr>
        <w:t xml:space="preserve">reduce </w:t>
      </w:r>
      <w:r w:rsidR="00F2080C" w:rsidRPr="00261ADB">
        <w:rPr>
          <w:rFonts w:asciiTheme="minorHAnsi" w:hAnsiTheme="minorHAnsi" w:cstheme="minorHAnsi"/>
          <w:bCs/>
          <w:iCs/>
          <w:sz w:val="24"/>
          <w:szCs w:val="24"/>
        </w:rPr>
        <w:t xml:space="preserve">the </w:t>
      </w:r>
      <w:r w:rsidRPr="00261ADB">
        <w:rPr>
          <w:rFonts w:asciiTheme="minorHAnsi" w:hAnsiTheme="minorHAnsi" w:cstheme="minorHAnsi"/>
          <w:bCs/>
          <w:iCs/>
          <w:sz w:val="24"/>
          <w:szCs w:val="24"/>
        </w:rPr>
        <w:t>university emissions, with work</w:t>
      </w:r>
      <w:r w:rsidR="00F2080C" w:rsidRPr="00261ADB">
        <w:rPr>
          <w:rFonts w:asciiTheme="minorHAnsi" w:hAnsiTheme="minorHAnsi" w:cstheme="minorHAnsi"/>
          <w:bCs/>
          <w:iCs/>
          <w:sz w:val="24"/>
          <w:szCs w:val="24"/>
        </w:rPr>
        <w:t>s</w:t>
      </w:r>
      <w:r w:rsidRPr="00261ADB">
        <w:rPr>
          <w:rFonts w:asciiTheme="minorHAnsi" w:hAnsiTheme="minorHAnsi" w:cstheme="minorHAnsi"/>
          <w:bCs/>
          <w:iCs/>
          <w:sz w:val="24"/>
          <w:szCs w:val="24"/>
        </w:rPr>
        <w:t xml:space="preserve"> </w:t>
      </w:r>
      <w:r w:rsidR="006D0A5F">
        <w:rPr>
          <w:rFonts w:asciiTheme="minorHAnsi" w:hAnsiTheme="minorHAnsi" w:cstheme="minorHAnsi"/>
          <w:bCs/>
          <w:iCs/>
          <w:sz w:val="24"/>
          <w:szCs w:val="24"/>
        </w:rPr>
        <w:t>due to be complete by September 2024</w:t>
      </w:r>
      <w:r w:rsidRPr="00261ADB">
        <w:rPr>
          <w:rFonts w:asciiTheme="minorHAnsi" w:hAnsiTheme="minorHAnsi" w:cstheme="minorHAnsi"/>
          <w:bCs/>
          <w:iCs/>
          <w:sz w:val="24"/>
          <w:szCs w:val="24"/>
        </w:rPr>
        <w:t>.</w:t>
      </w:r>
    </w:p>
    <w:p w14:paraId="4D07886A" w14:textId="77777777" w:rsidR="00A46594" w:rsidRDefault="00A46594" w:rsidP="006465A4">
      <w:pPr>
        <w:jc w:val="both"/>
        <w:rPr>
          <w:rFonts w:asciiTheme="minorHAnsi" w:hAnsiTheme="minorHAnsi" w:cstheme="minorHAnsi"/>
          <w:b/>
          <w:i/>
          <w:sz w:val="24"/>
          <w:szCs w:val="24"/>
        </w:rPr>
      </w:pPr>
    </w:p>
    <w:p w14:paraId="40976096" w14:textId="7D0BE971" w:rsidR="006465A4" w:rsidRPr="00261ADB" w:rsidRDefault="004256ED" w:rsidP="006465A4">
      <w:pPr>
        <w:jc w:val="both"/>
        <w:rPr>
          <w:rFonts w:asciiTheme="minorHAnsi" w:hAnsiTheme="minorHAnsi" w:cstheme="minorHAnsi"/>
          <w:b/>
          <w:i/>
          <w:sz w:val="24"/>
          <w:szCs w:val="24"/>
        </w:rPr>
      </w:pPr>
      <w:r>
        <w:rPr>
          <w:rFonts w:asciiTheme="minorHAnsi" w:hAnsiTheme="minorHAnsi" w:cstheme="minorHAnsi"/>
          <w:b/>
          <w:i/>
          <w:sz w:val="24"/>
          <w:szCs w:val="24"/>
        </w:rPr>
        <w:t>Large scale heat decarbonisation of Penglais Campus</w:t>
      </w:r>
    </w:p>
    <w:p w14:paraId="0A612859" w14:textId="2BF8613E" w:rsidR="006465A4" w:rsidRPr="00261ADB" w:rsidRDefault="006465A4" w:rsidP="006465A4">
      <w:pPr>
        <w:jc w:val="both"/>
        <w:rPr>
          <w:rFonts w:asciiTheme="minorHAnsi" w:hAnsiTheme="minorHAnsi" w:cstheme="minorHAnsi"/>
          <w:sz w:val="24"/>
          <w:szCs w:val="24"/>
        </w:rPr>
      </w:pPr>
      <w:r w:rsidRPr="00261ADB">
        <w:rPr>
          <w:rFonts w:asciiTheme="minorHAnsi" w:hAnsiTheme="minorHAnsi" w:cstheme="minorHAnsi"/>
          <w:sz w:val="24"/>
          <w:szCs w:val="24"/>
        </w:rPr>
        <w:t>Recognising the difficulty of decarbonising building heating (gas) related emissions which account for 3</w:t>
      </w:r>
      <w:r w:rsidR="00F2080C" w:rsidRPr="00261ADB">
        <w:rPr>
          <w:rFonts w:asciiTheme="minorHAnsi" w:hAnsiTheme="minorHAnsi" w:cstheme="minorHAnsi"/>
          <w:sz w:val="24"/>
          <w:szCs w:val="24"/>
        </w:rPr>
        <w:t>0</w:t>
      </w:r>
      <w:r w:rsidRPr="00261ADB">
        <w:rPr>
          <w:rFonts w:asciiTheme="minorHAnsi" w:hAnsiTheme="minorHAnsi" w:cstheme="minorHAnsi"/>
          <w:sz w:val="24"/>
          <w:szCs w:val="24"/>
        </w:rPr>
        <w:t>% of our total emissions, we have just completed a high-level feasibility study looking at heat electrification through a district heat network. We have been liaising with nearby public sector organisations (Hywel Dda</w:t>
      </w:r>
      <w:r w:rsidR="004256ED">
        <w:rPr>
          <w:rFonts w:asciiTheme="minorHAnsi" w:hAnsiTheme="minorHAnsi" w:cstheme="minorHAnsi"/>
          <w:sz w:val="24"/>
          <w:szCs w:val="24"/>
        </w:rPr>
        <w:t xml:space="preserve"> </w:t>
      </w:r>
      <w:r w:rsidRPr="00261ADB">
        <w:rPr>
          <w:rFonts w:asciiTheme="minorHAnsi" w:hAnsiTheme="minorHAnsi" w:cstheme="minorHAnsi"/>
          <w:sz w:val="24"/>
          <w:szCs w:val="24"/>
        </w:rPr>
        <w:t xml:space="preserve">and Ceredigion County Council), who </w:t>
      </w:r>
      <w:r w:rsidR="004256ED">
        <w:rPr>
          <w:rFonts w:asciiTheme="minorHAnsi" w:hAnsiTheme="minorHAnsi" w:cstheme="minorHAnsi"/>
          <w:sz w:val="24"/>
          <w:szCs w:val="24"/>
        </w:rPr>
        <w:t>have all shown</w:t>
      </w:r>
      <w:r w:rsidRPr="00261ADB">
        <w:rPr>
          <w:rFonts w:asciiTheme="minorHAnsi" w:hAnsiTheme="minorHAnsi" w:cstheme="minorHAnsi"/>
          <w:sz w:val="24"/>
          <w:szCs w:val="24"/>
        </w:rPr>
        <w:t xml:space="preserve"> support</w:t>
      </w:r>
      <w:r w:rsidR="004256ED">
        <w:rPr>
          <w:rFonts w:asciiTheme="minorHAnsi" w:hAnsiTheme="minorHAnsi" w:cstheme="minorHAnsi"/>
          <w:sz w:val="24"/>
          <w:szCs w:val="24"/>
        </w:rPr>
        <w:t xml:space="preserve"> for</w:t>
      </w:r>
      <w:r w:rsidRPr="00261ADB">
        <w:rPr>
          <w:rFonts w:asciiTheme="minorHAnsi" w:hAnsiTheme="minorHAnsi" w:cstheme="minorHAnsi"/>
          <w:sz w:val="24"/>
          <w:szCs w:val="24"/>
        </w:rPr>
        <w:t xml:space="preserve"> </w:t>
      </w:r>
      <w:r w:rsidR="004256ED">
        <w:rPr>
          <w:rFonts w:asciiTheme="minorHAnsi" w:hAnsiTheme="minorHAnsi" w:cstheme="minorHAnsi"/>
          <w:sz w:val="24"/>
          <w:szCs w:val="24"/>
        </w:rPr>
        <w:t xml:space="preserve">a collaborative </w:t>
      </w:r>
      <w:r w:rsidRPr="00261ADB">
        <w:rPr>
          <w:rFonts w:asciiTheme="minorHAnsi" w:hAnsiTheme="minorHAnsi" w:cstheme="minorHAnsi"/>
          <w:sz w:val="24"/>
          <w:szCs w:val="24"/>
        </w:rPr>
        <w:t>project</w:t>
      </w:r>
      <w:r w:rsidR="004256ED">
        <w:rPr>
          <w:rFonts w:asciiTheme="minorHAnsi" w:hAnsiTheme="minorHAnsi" w:cstheme="minorHAnsi"/>
          <w:sz w:val="24"/>
          <w:szCs w:val="24"/>
        </w:rPr>
        <w:t xml:space="preserve"> like this</w:t>
      </w:r>
      <w:r w:rsidRPr="00261ADB">
        <w:rPr>
          <w:rFonts w:asciiTheme="minorHAnsi" w:hAnsiTheme="minorHAnsi" w:cstheme="minorHAnsi"/>
          <w:sz w:val="24"/>
          <w:szCs w:val="24"/>
        </w:rPr>
        <w:t xml:space="preserve">. We are now </w:t>
      </w:r>
      <w:r w:rsidR="004A7C39" w:rsidRPr="00261ADB">
        <w:rPr>
          <w:rFonts w:asciiTheme="minorHAnsi" w:hAnsiTheme="minorHAnsi" w:cstheme="minorHAnsi"/>
          <w:sz w:val="24"/>
          <w:szCs w:val="24"/>
        </w:rPr>
        <w:t>exploring</w:t>
      </w:r>
      <w:r w:rsidR="004256ED">
        <w:rPr>
          <w:rFonts w:asciiTheme="minorHAnsi" w:hAnsiTheme="minorHAnsi" w:cstheme="minorHAnsi"/>
          <w:sz w:val="24"/>
          <w:szCs w:val="24"/>
        </w:rPr>
        <w:t xml:space="preserve"> possible funding sources and most cost-effective</w:t>
      </w:r>
      <w:r w:rsidR="004A7C39" w:rsidRPr="00261ADB">
        <w:rPr>
          <w:rFonts w:asciiTheme="minorHAnsi" w:hAnsiTheme="minorHAnsi" w:cstheme="minorHAnsi"/>
          <w:sz w:val="24"/>
          <w:szCs w:val="24"/>
        </w:rPr>
        <w:t xml:space="preserve"> options for heat decarbonisation before </w:t>
      </w:r>
      <w:r w:rsidRPr="00261ADB">
        <w:rPr>
          <w:rFonts w:asciiTheme="minorHAnsi" w:hAnsiTheme="minorHAnsi" w:cstheme="minorHAnsi"/>
          <w:sz w:val="24"/>
          <w:szCs w:val="24"/>
        </w:rPr>
        <w:t xml:space="preserve">looking to take the </w:t>
      </w:r>
      <w:r w:rsidR="004256ED">
        <w:rPr>
          <w:rFonts w:asciiTheme="minorHAnsi" w:hAnsiTheme="minorHAnsi" w:cstheme="minorHAnsi"/>
          <w:sz w:val="24"/>
          <w:szCs w:val="24"/>
        </w:rPr>
        <w:t xml:space="preserve">agreed approach through more detailed </w:t>
      </w:r>
      <w:r w:rsidRPr="00261ADB">
        <w:rPr>
          <w:rFonts w:asciiTheme="minorHAnsi" w:hAnsiTheme="minorHAnsi" w:cstheme="minorHAnsi"/>
          <w:sz w:val="24"/>
          <w:szCs w:val="24"/>
        </w:rPr>
        <w:t>feasibility stud</w:t>
      </w:r>
      <w:r w:rsidR="004256ED">
        <w:rPr>
          <w:rFonts w:asciiTheme="minorHAnsi" w:hAnsiTheme="minorHAnsi" w:cstheme="minorHAnsi"/>
          <w:sz w:val="24"/>
          <w:szCs w:val="24"/>
        </w:rPr>
        <w:t>ies</w:t>
      </w:r>
      <w:r w:rsidRPr="00261ADB">
        <w:rPr>
          <w:rFonts w:asciiTheme="minorHAnsi" w:hAnsiTheme="minorHAnsi" w:cstheme="minorHAnsi"/>
          <w:sz w:val="24"/>
          <w:szCs w:val="24"/>
        </w:rPr>
        <w:t xml:space="preserve"> and business case approval processes. </w:t>
      </w:r>
    </w:p>
    <w:p w14:paraId="4C55873E" w14:textId="77777777" w:rsidR="006465A4" w:rsidRPr="00261ADB" w:rsidRDefault="006465A4" w:rsidP="006465A4">
      <w:pPr>
        <w:contextualSpacing/>
        <w:jc w:val="both"/>
        <w:rPr>
          <w:rFonts w:asciiTheme="minorHAnsi" w:hAnsiTheme="minorHAnsi" w:cstheme="minorHAnsi"/>
          <w:b/>
          <w:bCs/>
          <w:sz w:val="24"/>
          <w:szCs w:val="24"/>
          <w:u w:val="single"/>
        </w:rPr>
      </w:pPr>
    </w:p>
    <w:p w14:paraId="0832361C" w14:textId="77777777" w:rsidR="006465A4" w:rsidRPr="00257178" w:rsidRDefault="006465A4" w:rsidP="006465A4">
      <w:pPr>
        <w:contextualSpacing/>
        <w:jc w:val="both"/>
        <w:rPr>
          <w:rFonts w:asciiTheme="minorHAnsi" w:hAnsiTheme="minorHAnsi" w:cstheme="minorHAnsi"/>
          <w:b/>
          <w:bCs/>
          <w:i/>
          <w:iCs/>
          <w:sz w:val="24"/>
          <w:szCs w:val="24"/>
        </w:rPr>
      </w:pPr>
      <w:r w:rsidRPr="00257178">
        <w:rPr>
          <w:rFonts w:asciiTheme="minorHAnsi" w:hAnsiTheme="minorHAnsi" w:cstheme="minorHAnsi"/>
          <w:b/>
          <w:bCs/>
          <w:i/>
          <w:iCs/>
          <w:sz w:val="24"/>
          <w:szCs w:val="24"/>
        </w:rPr>
        <w:t xml:space="preserve">Renewable Energy Projects </w:t>
      </w:r>
    </w:p>
    <w:p w14:paraId="095288D2" w14:textId="5EB34630" w:rsidR="006465A4" w:rsidRPr="00257178" w:rsidRDefault="006465A4" w:rsidP="3821101D">
      <w:pPr>
        <w:contextualSpacing/>
        <w:jc w:val="both"/>
        <w:rPr>
          <w:rFonts w:asciiTheme="minorHAnsi" w:hAnsiTheme="minorHAnsi"/>
          <w:sz w:val="24"/>
          <w:szCs w:val="24"/>
        </w:rPr>
      </w:pPr>
      <w:r w:rsidRPr="00257178">
        <w:rPr>
          <w:rFonts w:asciiTheme="minorHAnsi" w:hAnsiTheme="minorHAnsi"/>
          <w:sz w:val="24"/>
          <w:szCs w:val="24"/>
        </w:rPr>
        <w:t xml:space="preserve">With the success of our solar array, </w:t>
      </w:r>
      <w:r w:rsidR="00C01739" w:rsidRPr="00257178">
        <w:rPr>
          <w:rFonts w:asciiTheme="minorHAnsi" w:hAnsiTheme="minorHAnsi"/>
          <w:sz w:val="24"/>
          <w:szCs w:val="24"/>
        </w:rPr>
        <w:t xml:space="preserve">we have undertaken feasibility surveys for the development of a wind turbine at our Gogerddan campus. </w:t>
      </w:r>
      <w:r w:rsidR="002643DC" w:rsidRPr="00257178">
        <w:rPr>
          <w:rFonts w:asciiTheme="minorHAnsi" w:hAnsiTheme="minorHAnsi"/>
          <w:sz w:val="24"/>
          <w:szCs w:val="24"/>
        </w:rPr>
        <w:t xml:space="preserve">This aligns with our aim highlighted in our Net Zero Strategy of 25% of our </w:t>
      </w:r>
      <w:r w:rsidR="006D0A5F" w:rsidRPr="00257178">
        <w:rPr>
          <w:rFonts w:asciiTheme="minorHAnsi" w:hAnsiTheme="minorHAnsi"/>
          <w:sz w:val="24"/>
          <w:szCs w:val="24"/>
        </w:rPr>
        <w:t xml:space="preserve">electricity </w:t>
      </w:r>
      <w:r w:rsidR="002643DC" w:rsidRPr="00257178">
        <w:rPr>
          <w:rFonts w:asciiTheme="minorHAnsi" w:hAnsiTheme="minorHAnsi"/>
          <w:sz w:val="24"/>
          <w:szCs w:val="24"/>
        </w:rPr>
        <w:t>coming from renewable sources by 2030. After a year of activity from our solar array, we are currently at 1</w:t>
      </w:r>
      <w:r w:rsidR="006D0A5F" w:rsidRPr="00257178">
        <w:rPr>
          <w:rFonts w:asciiTheme="minorHAnsi" w:hAnsiTheme="minorHAnsi"/>
          <w:sz w:val="24"/>
          <w:szCs w:val="24"/>
        </w:rPr>
        <w:t>2</w:t>
      </w:r>
      <w:r w:rsidR="002643DC" w:rsidRPr="00257178">
        <w:rPr>
          <w:rFonts w:asciiTheme="minorHAnsi" w:hAnsiTheme="minorHAnsi"/>
          <w:sz w:val="24"/>
          <w:szCs w:val="24"/>
        </w:rPr>
        <w:t xml:space="preserve">%. </w:t>
      </w:r>
    </w:p>
    <w:p w14:paraId="5034B82D" w14:textId="77777777" w:rsidR="006D0A5F" w:rsidRPr="00257178" w:rsidRDefault="006D0A5F" w:rsidP="00257178">
      <w:pPr>
        <w:contextualSpacing/>
        <w:jc w:val="both"/>
        <w:rPr>
          <w:rFonts w:asciiTheme="minorHAnsi" w:hAnsiTheme="minorHAnsi" w:cstheme="minorHAnsi"/>
          <w:sz w:val="24"/>
          <w:szCs w:val="24"/>
        </w:rPr>
      </w:pPr>
    </w:p>
    <w:p w14:paraId="35201581" w14:textId="77777777" w:rsidR="006D0A5F" w:rsidRPr="00257178" w:rsidRDefault="006D0A5F" w:rsidP="006D0A5F">
      <w:pPr>
        <w:jc w:val="both"/>
        <w:rPr>
          <w:rFonts w:asciiTheme="minorHAnsi" w:hAnsiTheme="minorHAnsi" w:cstheme="minorHAnsi"/>
          <w:b/>
          <w:i/>
          <w:iCs/>
          <w:sz w:val="24"/>
          <w:szCs w:val="24"/>
        </w:rPr>
      </w:pPr>
      <w:r w:rsidRPr="00257178">
        <w:rPr>
          <w:rFonts w:asciiTheme="minorHAnsi" w:hAnsiTheme="minorHAnsi" w:cstheme="minorHAnsi"/>
          <w:b/>
          <w:i/>
          <w:iCs/>
          <w:sz w:val="24"/>
          <w:szCs w:val="24"/>
        </w:rPr>
        <w:t>Ethical Investments Policy</w:t>
      </w:r>
    </w:p>
    <w:p w14:paraId="2AE5D7CC" w14:textId="77777777" w:rsidR="006D0A5F" w:rsidRPr="00257178" w:rsidRDefault="006D0A5F" w:rsidP="006D0A5F">
      <w:pPr>
        <w:jc w:val="both"/>
        <w:rPr>
          <w:rFonts w:asciiTheme="minorHAnsi" w:hAnsiTheme="minorHAnsi" w:cstheme="minorHAnsi"/>
          <w:bCs/>
          <w:sz w:val="24"/>
          <w:szCs w:val="24"/>
        </w:rPr>
      </w:pPr>
      <w:r w:rsidRPr="00257178">
        <w:rPr>
          <w:rFonts w:asciiTheme="minorHAnsi" w:hAnsiTheme="minorHAnsi" w:cstheme="minorHAnsi"/>
          <w:bCs/>
          <w:sz w:val="24"/>
          <w:szCs w:val="24"/>
        </w:rPr>
        <w:t xml:space="preserve">We also adopted a new ethical investments policy, including commitments to publish our investment portfolio annually and to socially responsible investment. We have screened and will no longer invest in many industries, including the fossil fuel industry, those involved with coal &amp; tar sands, thermal coal mining/power generation and unconventional coal and gas. </w:t>
      </w:r>
    </w:p>
    <w:p w14:paraId="4E947018" w14:textId="77777777" w:rsidR="006D0A5F" w:rsidRPr="00257178" w:rsidRDefault="006D0A5F" w:rsidP="006D0A5F">
      <w:pPr>
        <w:jc w:val="both"/>
        <w:rPr>
          <w:rFonts w:asciiTheme="minorHAnsi" w:hAnsiTheme="minorHAnsi" w:cstheme="minorHAnsi"/>
          <w:bCs/>
          <w:sz w:val="24"/>
          <w:szCs w:val="24"/>
        </w:rPr>
      </w:pPr>
    </w:p>
    <w:p w14:paraId="2F9D3165" w14:textId="77777777" w:rsidR="006D0A5F" w:rsidRPr="00257178" w:rsidRDefault="006D0A5F" w:rsidP="006D0A5F">
      <w:pPr>
        <w:jc w:val="both"/>
        <w:rPr>
          <w:rFonts w:asciiTheme="minorHAnsi" w:hAnsiTheme="minorHAnsi" w:cstheme="minorHAnsi"/>
          <w:b/>
          <w:i/>
          <w:iCs/>
          <w:sz w:val="24"/>
          <w:szCs w:val="24"/>
        </w:rPr>
      </w:pPr>
      <w:r w:rsidRPr="00257178">
        <w:rPr>
          <w:rFonts w:asciiTheme="minorHAnsi" w:hAnsiTheme="minorHAnsi" w:cstheme="minorHAnsi"/>
          <w:b/>
          <w:i/>
          <w:iCs/>
          <w:sz w:val="24"/>
          <w:szCs w:val="24"/>
        </w:rPr>
        <w:t>Ethical Careers Policy</w:t>
      </w:r>
    </w:p>
    <w:p w14:paraId="3C7CC004" w14:textId="77777777" w:rsidR="006D0A5F" w:rsidRPr="00257178" w:rsidRDefault="006D0A5F" w:rsidP="006D0A5F">
      <w:pPr>
        <w:jc w:val="both"/>
        <w:rPr>
          <w:rFonts w:asciiTheme="minorHAnsi" w:hAnsiTheme="minorHAnsi" w:cstheme="minorHAnsi"/>
          <w:bCs/>
          <w:sz w:val="24"/>
          <w:szCs w:val="24"/>
        </w:rPr>
      </w:pPr>
      <w:r w:rsidRPr="00257178">
        <w:rPr>
          <w:rFonts w:asciiTheme="minorHAnsi" w:hAnsiTheme="minorHAnsi" w:cstheme="minorHAnsi"/>
          <w:bCs/>
          <w:sz w:val="24"/>
          <w:szCs w:val="24"/>
        </w:rPr>
        <w:t xml:space="preserve">We have developed a new ethical careers policy, tackling the promotion of jobs within sectors that negatively affect the climate. This includes not directly promoting fossil fuel and mining companies. We hope this will encourage students to consider emissions and sustainability when choosing their career, while not removing choices or opportunities from our students.  </w:t>
      </w:r>
    </w:p>
    <w:p w14:paraId="3BD1C63B" w14:textId="77777777" w:rsidR="006465A4" w:rsidRPr="00261ADB" w:rsidRDefault="006465A4" w:rsidP="00341FF4">
      <w:pPr>
        <w:contextualSpacing/>
        <w:jc w:val="both"/>
        <w:rPr>
          <w:rFonts w:asciiTheme="minorHAnsi" w:hAnsiTheme="minorHAnsi" w:cstheme="minorHAnsi"/>
          <w:sz w:val="24"/>
          <w:szCs w:val="24"/>
        </w:rPr>
      </w:pPr>
    </w:p>
    <w:sectPr w:rsidR="006465A4" w:rsidRPr="00261ADB">
      <w:pgSz w:w="11906" w:h="16838" w:code="9"/>
      <w:pgMar w:top="1134" w:right="1134" w:bottom="1134" w:left="1134" w:header="113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7364B"/>
    <w:multiLevelType w:val="multilevel"/>
    <w:tmpl w:val="36B8B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2022F6"/>
    <w:multiLevelType w:val="hybridMultilevel"/>
    <w:tmpl w:val="84B8312E"/>
    <w:lvl w:ilvl="0" w:tplc="E0A6FD56">
      <w:start w:val="2030"/>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73014A8C"/>
    <w:multiLevelType w:val="hybridMultilevel"/>
    <w:tmpl w:val="F19C7A7E"/>
    <w:lvl w:ilvl="0" w:tplc="C8AC0D5C">
      <w:numFmt w:val="bullet"/>
      <w:lvlText w:val="-"/>
      <w:lvlJc w:val="left"/>
      <w:pPr>
        <w:ind w:left="408" w:hanging="360"/>
      </w:pPr>
      <w:rPr>
        <w:rFonts w:ascii="Segoe UI" w:eastAsia="Times New Roman" w:hAnsi="Segoe UI" w:cs="Segoe U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7506377A"/>
    <w:multiLevelType w:val="hybridMultilevel"/>
    <w:tmpl w:val="D1D0A5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9359816">
    <w:abstractNumId w:val="0"/>
  </w:num>
  <w:num w:numId="2" w16cid:durableId="1361859704">
    <w:abstractNumId w:val="3"/>
  </w:num>
  <w:num w:numId="3" w16cid:durableId="1366826541">
    <w:abstractNumId w:val="2"/>
  </w:num>
  <w:num w:numId="4" w16cid:durableId="33839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24"/>
    <w:rsid w:val="00006D09"/>
    <w:rsid w:val="00006DAF"/>
    <w:rsid w:val="000158C8"/>
    <w:rsid w:val="00027281"/>
    <w:rsid w:val="0007242F"/>
    <w:rsid w:val="00072F16"/>
    <w:rsid w:val="0008569A"/>
    <w:rsid w:val="000C5FDB"/>
    <w:rsid w:val="000D63D6"/>
    <w:rsid w:val="000E4A40"/>
    <w:rsid w:val="000E793A"/>
    <w:rsid w:val="001116F7"/>
    <w:rsid w:val="00113220"/>
    <w:rsid w:val="00136CA4"/>
    <w:rsid w:val="001502F9"/>
    <w:rsid w:val="00162FCD"/>
    <w:rsid w:val="00170297"/>
    <w:rsid w:val="00174AFF"/>
    <w:rsid w:val="00183301"/>
    <w:rsid w:val="001A5B26"/>
    <w:rsid w:val="001B041F"/>
    <w:rsid w:val="001C5A5D"/>
    <w:rsid w:val="001D6062"/>
    <w:rsid w:val="001E18ED"/>
    <w:rsid w:val="00242285"/>
    <w:rsid w:val="00243CE0"/>
    <w:rsid w:val="00245E18"/>
    <w:rsid w:val="00254EEB"/>
    <w:rsid w:val="00257178"/>
    <w:rsid w:val="00261ADB"/>
    <w:rsid w:val="002643DC"/>
    <w:rsid w:val="00283B5D"/>
    <w:rsid w:val="002843B9"/>
    <w:rsid w:val="002A4717"/>
    <w:rsid w:val="002B31B3"/>
    <w:rsid w:val="002B440A"/>
    <w:rsid w:val="002C25C8"/>
    <w:rsid w:val="002D0554"/>
    <w:rsid w:val="002D5F46"/>
    <w:rsid w:val="002E1BCE"/>
    <w:rsid w:val="002F3E93"/>
    <w:rsid w:val="003037D5"/>
    <w:rsid w:val="00315BAA"/>
    <w:rsid w:val="00317713"/>
    <w:rsid w:val="00322AA6"/>
    <w:rsid w:val="00333ADE"/>
    <w:rsid w:val="00341FF4"/>
    <w:rsid w:val="00347B37"/>
    <w:rsid w:val="00351CD8"/>
    <w:rsid w:val="00381DEE"/>
    <w:rsid w:val="003B19AC"/>
    <w:rsid w:val="003E62BE"/>
    <w:rsid w:val="0040690C"/>
    <w:rsid w:val="00411C11"/>
    <w:rsid w:val="0041274C"/>
    <w:rsid w:val="004219C1"/>
    <w:rsid w:val="004256ED"/>
    <w:rsid w:val="00431AA5"/>
    <w:rsid w:val="004369C4"/>
    <w:rsid w:val="0045341A"/>
    <w:rsid w:val="0045685E"/>
    <w:rsid w:val="00464A68"/>
    <w:rsid w:val="00466A79"/>
    <w:rsid w:val="00474476"/>
    <w:rsid w:val="00483B4B"/>
    <w:rsid w:val="00486AF9"/>
    <w:rsid w:val="00487164"/>
    <w:rsid w:val="004876B8"/>
    <w:rsid w:val="004A0380"/>
    <w:rsid w:val="004A7C39"/>
    <w:rsid w:val="004C13DD"/>
    <w:rsid w:val="004C69BF"/>
    <w:rsid w:val="004E4DBB"/>
    <w:rsid w:val="004E7F9D"/>
    <w:rsid w:val="005027DE"/>
    <w:rsid w:val="0051433D"/>
    <w:rsid w:val="005159E3"/>
    <w:rsid w:val="00536F62"/>
    <w:rsid w:val="005448BD"/>
    <w:rsid w:val="00547D7E"/>
    <w:rsid w:val="00550EFF"/>
    <w:rsid w:val="005712B9"/>
    <w:rsid w:val="00593A29"/>
    <w:rsid w:val="00593BA8"/>
    <w:rsid w:val="00596352"/>
    <w:rsid w:val="005A0064"/>
    <w:rsid w:val="005A5B7E"/>
    <w:rsid w:val="005B6712"/>
    <w:rsid w:val="005C36E8"/>
    <w:rsid w:val="005E57D7"/>
    <w:rsid w:val="005E67B5"/>
    <w:rsid w:val="006240C1"/>
    <w:rsid w:val="00644138"/>
    <w:rsid w:val="006465A4"/>
    <w:rsid w:val="00646A62"/>
    <w:rsid w:val="00651BF8"/>
    <w:rsid w:val="0065631C"/>
    <w:rsid w:val="00694F90"/>
    <w:rsid w:val="00697F4B"/>
    <w:rsid w:val="006A2447"/>
    <w:rsid w:val="006B5076"/>
    <w:rsid w:val="006C106B"/>
    <w:rsid w:val="006D0A5F"/>
    <w:rsid w:val="006F12E6"/>
    <w:rsid w:val="006F700E"/>
    <w:rsid w:val="007046F1"/>
    <w:rsid w:val="007138C7"/>
    <w:rsid w:val="00761D86"/>
    <w:rsid w:val="007639BA"/>
    <w:rsid w:val="007647F3"/>
    <w:rsid w:val="00770B1C"/>
    <w:rsid w:val="00774C01"/>
    <w:rsid w:val="00775657"/>
    <w:rsid w:val="00777F6F"/>
    <w:rsid w:val="00784B09"/>
    <w:rsid w:val="0078545C"/>
    <w:rsid w:val="0079123E"/>
    <w:rsid w:val="007B6FE3"/>
    <w:rsid w:val="007B7578"/>
    <w:rsid w:val="007C3FD8"/>
    <w:rsid w:val="007E515C"/>
    <w:rsid w:val="008076EC"/>
    <w:rsid w:val="00807C92"/>
    <w:rsid w:val="00810A63"/>
    <w:rsid w:val="00810A89"/>
    <w:rsid w:val="00825C9B"/>
    <w:rsid w:val="008305E4"/>
    <w:rsid w:val="008532F0"/>
    <w:rsid w:val="008603FD"/>
    <w:rsid w:val="00863088"/>
    <w:rsid w:val="008A7300"/>
    <w:rsid w:val="008A7E92"/>
    <w:rsid w:val="008F605B"/>
    <w:rsid w:val="00920A6B"/>
    <w:rsid w:val="00922801"/>
    <w:rsid w:val="0092606C"/>
    <w:rsid w:val="00937899"/>
    <w:rsid w:val="00941511"/>
    <w:rsid w:val="00960507"/>
    <w:rsid w:val="00960730"/>
    <w:rsid w:val="00980347"/>
    <w:rsid w:val="00986818"/>
    <w:rsid w:val="009C13BD"/>
    <w:rsid w:val="009C566B"/>
    <w:rsid w:val="009D6489"/>
    <w:rsid w:val="009E7D59"/>
    <w:rsid w:val="009F06B8"/>
    <w:rsid w:val="009F4780"/>
    <w:rsid w:val="00A03334"/>
    <w:rsid w:val="00A46594"/>
    <w:rsid w:val="00A70C50"/>
    <w:rsid w:val="00A77F7A"/>
    <w:rsid w:val="00A834F2"/>
    <w:rsid w:val="00AA11FD"/>
    <w:rsid w:val="00AA3959"/>
    <w:rsid w:val="00AA5730"/>
    <w:rsid w:val="00AB2FB9"/>
    <w:rsid w:val="00AC5C37"/>
    <w:rsid w:val="00AD0F6A"/>
    <w:rsid w:val="00AE4494"/>
    <w:rsid w:val="00AE6A7F"/>
    <w:rsid w:val="00AFE33C"/>
    <w:rsid w:val="00B34276"/>
    <w:rsid w:val="00B421FA"/>
    <w:rsid w:val="00B64BBD"/>
    <w:rsid w:val="00B765F3"/>
    <w:rsid w:val="00B76B0A"/>
    <w:rsid w:val="00B916E2"/>
    <w:rsid w:val="00B9294F"/>
    <w:rsid w:val="00BA7E53"/>
    <w:rsid w:val="00BD2E2F"/>
    <w:rsid w:val="00BF1336"/>
    <w:rsid w:val="00C01739"/>
    <w:rsid w:val="00C03625"/>
    <w:rsid w:val="00C234A3"/>
    <w:rsid w:val="00C43510"/>
    <w:rsid w:val="00C50641"/>
    <w:rsid w:val="00C65C1A"/>
    <w:rsid w:val="00C70876"/>
    <w:rsid w:val="00CA355C"/>
    <w:rsid w:val="00CB2D1C"/>
    <w:rsid w:val="00CC77E0"/>
    <w:rsid w:val="00CD3B57"/>
    <w:rsid w:val="00CE666F"/>
    <w:rsid w:val="00CE73E8"/>
    <w:rsid w:val="00CF3F24"/>
    <w:rsid w:val="00D06E54"/>
    <w:rsid w:val="00D35C85"/>
    <w:rsid w:val="00D37869"/>
    <w:rsid w:val="00D42162"/>
    <w:rsid w:val="00D72CD6"/>
    <w:rsid w:val="00D90E7A"/>
    <w:rsid w:val="00DE7376"/>
    <w:rsid w:val="00DF04DF"/>
    <w:rsid w:val="00E0157D"/>
    <w:rsid w:val="00E03192"/>
    <w:rsid w:val="00E05BAC"/>
    <w:rsid w:val="00E165B2"/>
    <w:rsid w:val="00E2305E"/>
    <w:rsid w:val="00E67F40"/>
    <w:rsid w:val="00E757BE"/>
    <w:rsid w:val="00E923FC"/>
    <w:rsid w:val="00E934B1"/>
    <w:rsid w:val="00E96A72"/>
    <w:rsid w:val="00ED0F95"/>
    <w:rsid w:val="00ED663D"/>
    <w:rsid w:val="00ED6777"/>
    <w:rsid w:val="00ED6E45"/>
    <w:rsid w:val="00EE3BC2"/>
    <w:rsid w:val="00EF7485"/>
    <w:rsid w:val="00F01A8C"/>
    <w:rsid w:val="00F11D47"/>
    <w:rsid w:val="00F2080C"/>
    <w:rsid w:val="00F3024F"/>
    <w:rsid w:val="00F37F7E"/>
    <w:rsid w:val="00F709D2"/>
    <w:rsid w:val="00F77723"/>
    <w:rsid w:val="00FA67FE"/>
    <w:rsid w:val="00FB32A9"/>
    <w:rsid w:val="00FB5084"/>
    <w:rsid w:val="00FB5B42"/>
    <w:rsid w:val="00FD1700"/>
    <w:rsid w:val="00FD1E7C"/>
    <w:rsid w:val="00FE2006"/>
    <w:rsid w:val="00FF09AD"/>
    <w:rsid w:val="00FF3C14"/>
    <w:rsid w:val="00FF707D"/>
    <w:rsid w:val="00FF7AFA"/>
    <w:rsid w:val="0439D4E9"/>
    <w:rsid w:val="051B1A90"/>
    <w:rsid w:val="05604C42"/>
    <w:rsid w:val="05D5A54A"/>
    <w:rsid w:val="066BB915"/>
    <w:rsid w:val="094F2298"/>
    <w:rsid w:val="11558CD8"/>
    <w:rsid w:val="162A016D"/>
    <w:rsid w:val="17CAAB9A"/>
    <w:rsid w:val="1AF6DA3F"/>
    <w:rsid w:val="2174A19A"/>
    <w:rsid w:val="2578FADC"/>
    <w:rsid w:val="262EEA60"/>
    <w:rsid w:val="264812BD"/>
    <w:rsid w:val="29668B22"/>
    <w:rsid w:val="2A457521"/>
    <w:rsid w:val="2B025B83"/>
    <w:rsid w:val="2B8B41F3"/>
    <w:rsid w:val="2D837687"/>
    <w:rsid w:val="2E39FC45"/>
    <w:rsid w:val="3211A29D"/>
    <w:rsid w:val="326BEBBF"/>
    <w:rsid w:val="366CE1A8"/>
    <w:rsid w:val="37E8CC11"/>
    <w:rsid w:val="3821101D"/>
    <w:rsid w:val="39849C72"/>
    <w:rsid w:val="39A3B821"/>
    <w:rsid w:val="3CDB58E3"/>
    <w:rsid w:val="4031A0B1"/>
    <w:rsid w:val="405E2466"/>
    <w:rsid w:val="4CF96A33"/>
    <w:rsid w:val="4DA50E0E"/>
    <w:rsid w:val="4DCC1743"/>
    <w:rsid w:val="4E5A98A8"/>
    <w:rsid w:val="50CF6D7B"/>
    <w:rsid w:val="52A052AF"/>
    <w:rsid w:val="55047C18"/>
    <w:rsid w:val="55B80D79"/>
    <w:rsid w:val="566F90CB"/>
    <w:rsid w:val="5A8937D1"/>
    <w:rsid w:val="5AAA9A4B"/>
    <w:rsid w:val="5C2E0C98"/>
    <w:rsid w:val="5CAF98C6"/>
    <w:rsid w:val="5F26E82E"/>
    <w:rsid w:val="60999DCA"/>
    <w:rsid w:val="60FAC020"/>
    <w:rsid w:val="61F9F565"/>
    <w:rsid w:val="64596A17"/>
    <w:rsid w:val="65BE2BAD"/>
    <w:rsid w:val="65D96D93"/>
    <w:rsid w:val="692CDB3A"/>
    <w:rsid w:val="6AAEB9F0"/>
    <w:rsid w:val="72C7A192"/>
    <w:rsid w:val="74CBBE8C"/>
    <w:rsid w:val="76BEEFA3"/>
    <w:rsid w:val="7DE2D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432B"/>
  <w15:docId w15:val="{8B787B65-6FE3-4E57-BD5E-C7AA6AD1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2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3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465A4"/>
  </w:style>
  <w:style w:type="paragraph" w:customStyle="1" w:styleId="paragraph">
    <w:name w:val="paragraph"/>
    <w:basedOn w:val="Normal"/>
    <w:rsid w:val="006465A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6465A4"/>
  </w:style>
  <w:style w:type="paragraph" w:styleId="ListParagraph">
    <w:name w:val="List Paragraph"/>
    <w:basedOn w:val="Normal"/>
    <w:uiPriority w:val="34"/>
    <w:qFormat/>
    <w:rsid w:val="006465A4"/>
    <w:pPr>
      <w:ind w:left="720"/>
      <w:contextualSpacing/>
    </w:pPr>
  </w:style>
  <w:style w:type="paragraph" w:styleId="Revision">
    <w:name w:val="Revision"/>
    <w:hidden/>
    <w:uiPriority w:val="99"/>
    <w:semiHidden/>
    <w:rsid w:val="002B440A"/>
    <w:pPr>
      <w:spacing w:after="0" w:line="240" w:lineRule="auto"/>
    </w:pPr>
    <w:rPr>
      <w:rFonts w:ascii="Arial" w:hAnsi="Arial"/>
    </w:rPr>
  </w:style>
  <w:style w:type="character" w:styleId="CommentReference">
    <w:name w:val="annotation reference"/>
    <w:basedOn w:val="DefaultParagraphFont"/>
    <w:uiPriority w:val="99"/>
    <w:semiHidden/>
    <w:unhideWhenUsed/>
    <w:rsid w:val="00FF3C14"/>
    <w:rPr>
      <w:sz w:val="16"/>
      <w:szCs w:val="16"/>
    </w:rPr>
  </w:style>
  <w:style w:type="paragraph" w:styleId="CommentText">
    <w:name w:val="annotation text"/>
    <w:basedOn w:val="Normal"/>
    <w:link w:val="CommentTextChar"/>
    <w:uiPriority w:val="99"/>
    <w:unhideWhenUsed/>
    <w:rsid w:val="00FF3C14"/>
    <w:rPr>
      <w:sz w:val="20"/>
      <w:szCs w:val="20"/>
    </w:rPr>
  </w:style>
  <w:style w:type="character" w:customStyle="1" w:styleId="CommentTextChar">
    <w:name w:val="Comment Text Char"/>
    <w:basedOn w:val="DefaultParagraphFont"/>
    <w:link w:val="CommentText"/>
    <w:uiPriority w:val="99"/>
    <w:rsid w:val="00FF3C1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3C14"/>
    <w:rPr>
      <w:b/>
      <w:bCs/>
    </w:rPr>
  </w:style>
  <w:style w:type="character" w:customStyle="1" w:styleId="CommentSubjectChar">
    <w:name w:val="Comment Subject Char"/>
    <w:basedOn w:val="CommentTextChar"/>
    <w:link w:val="CommentSubject"/>
    <w:uiPriority w:val="99"/>
    <w:semiHidden/>
    <w:rsid w:val="00FF3C1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38872">
      <w:bodyDiv w:val="1"/>
      <w:marLeft w:val="0"/>
      <w:marRight w:val="0"/>
      <w:marTop w:val="0"/>
      <w:marBottom w:val="0"/>
      <w:divBdr>
        <w:top w:val="none" w:sz="0" w:space="0" w:color="auto"/>
        <w:left w:val="none" w:sz="0" w:space="0" w:color="auto"/>
        <w:bottom w:val="none" w:sz="0" w:space="0" w:color="auto"/>
        <w:right w:val="none" w:sz="0" w:space="0" w:color="auto"/>
      </w:divBdr>
      <w:divsChild>
        <w:div w:id="23333108">
          <w:marLeft w:val="0"/>
          <w:marRight w:val="0"/>
          <w:marTop w:val="0"/>
          <w:marBottom w:val="0"/>
          <w:divBdr>
            <w:top w:val="none" w:sz="0" w:space="0" w:color="auto"/>
            <w:left w:val="none" w:sz="0" w:space="0" w:color="auto"/>
            <w:bottom w:val="none" w:sz="0" w:space="0" w:color="auto"/>
            <w:right w:val="none" w:sz="0" w:space="0" w:color="auto"/>
          </w:divBdr>
        </w:div>
        <w:div w:id="284888745">
          <w:marLeft w:val="0"/>
          <w:marRight w:val="0"/>
          <w:marTop w:val="0"/>
          <w:marBottom w:val="0"/>
          <w:divBdr>
            <w:top w:val="none" w:sz="0" w:space="0" w:color="auto"/>
            <w:left w:val="none" w:sz="0" w:space="0" w:color="auto"/>
            <w:bottom w:val="none" w:sz="0" w:space="0" w:color="auto"/>
            <w:right w:val="none" w:sz="0" w:space="0" w:color="auto"/>
          </w:divBdr>
        </w:div>
        <w:div w:id="343023408">
          <w:marLeft w:val="0"/>
          <w:marRight w:val="0"/>
          <w:marTop w:val="0"/>
          <w:marBottom w:val="0"/>
          <w:divBdr>
            <w:top w:val="none" w:sz="0" w:space="0" w:color="auto"/>
            <w:left w:val="none" w:sz="0" w:space="0" w:color="auto"/>
            <w:bottom w:val="none" w:sz="0" w:space="0" w:color="auto"/>
            <w:right w:val="none" w:sz="0" w:space="0" w:color="auto"/>
          </w:divBdr>
        </w:div>
        <w:div w:id="368648854">
          <w:marLeft w:val="0"/>
          <w:marRight w:val="0"/>
          <w:marTop w:val="0"/>
          <w:marBottom w:val="0"/>
          <w:divBdr>
            <w:top w:val="none" w:sz="0" w:space="0" w:color="auto"/>
            <w:left w:val="none" w:sz="0" w:space="0" w:color="auto"/>
            <w:bottom w:val="none" w:sz="0" w:space="0" w:color="auto"/>
            <w:right w:val="none" w:sz="0" w:space="0" w:color="auto"/>
          </w:divBdr>
        </w:div>
        <w:div w:id="486172460">
          <w:marLeft w:val="0"/>
          <w:marRight w:val="0"/>
          <w:marTop w:val="0"/>
          <w:marBottom w:val="0"/>
          <w:divBdr>
            <w:top w:val="none" w:sz="0" w:space="0" w:color="auto"/>
            <w:left w:val="none" w:sz="0" w:space="0" w:color="auto"/>
            <w:bottom w:val="none" w:sz="0" w:space="0" w:color="auto"/>
            <w:right w:val="none" w:sz="0" w:space="0" w:color="auto"/>
          </w:divBdr>
        </w:div>
        <w:div w:id="645085984">
          <w:marLeft w:val="0"/>
          <w:marRight w:val="0"/>
          <w:marTop w:val="0"/>
          <w:marBottom w:val="0"/>
          <w:divBdr>
            <w:top w:val="none" w:sz="0" w:space="0" w:color="auto"/>
            <w:left w:val="none" w:sz="0" w:space="0" w:color="auto"/>
            <w:bottom w:val="none" w:sz="0" w:space="0" w:color="auto"/>
            <w:right w:val="none" w:sz="0" w:space="0" w:color="auto"/>
          </w:divBdr>
        </w:div>
        <w:div w:id="760837433">
          <w:marLeft w:val="0"/>
          <w:marRight w:val="0"/>
          <w:marTop w:val="0"/>
          <w:marBottom w:val="0"/>
          <w:divBdr>
            <w:top w:val="none" w:sz="0" w:space="0" w:color="auto"/>
            <w:left w:val="none" w:sz="0" w:space="0" w:color="auto"/>
            <w:bottom w:val="none" w:sz="0" w:space="0" w:color="auto"/>
            <w:right w:val="none" w:sz="0" w:space="0" w:color="auto"/>
          </w:divBdr>
        </w:div>
        <w:div w:id="850950067">
          <w:marLeft w:val="0"/>
          <w:marRight w:val="0"/>
          <w:marTop w:val="0"/>
          <w:marBottom w:val="0"/>
          <w:divBdr>
            <w:top w:val="none" w:sz="0" w:space="0" w:color="auto"/>
            <w:left w:val="none" w:sz="0" w:space="0" w:color="auto"/>
            <w:bottom w:val="none" w:sz="0" w:space="0" w:color="auto"/>
            <w:right w:val="none" w:sz="0" w:space="0" w:color="auto"/>
          </w:divBdr>
        </w:div>
        <w:div w:id="998387463">
          <w:marLeft w:val="0"/>
          <w:marRight w:val="0"/>
          <w:marTop w:val="0"/>
          <w:marBottom w:val="0"/>
          <w:divBdr>
            <w:top w:val="none" w:sz="0" w:space="0" w:color="auto"/>
            <w:left w:val="none" w:sz="0" w:space="0" w:color="auto"/>
            <w:bottom w:val="none" w:sz="0" w:space="0" w:color="auto"/>
            <w:right w:val="none" w:sz="0" w:space="0" w:color="auto"/>
          </w:divBdr>
        </w:div>
        <w:div w:id="1002588593">
          <w:marLeft w:val="0"/>
          <w:marRight w:val="0"/>
          <w:marTop w:val="0"/>
          <w:marBottom w:val="0"/>
          <w:divBdr>
            <w:top w:val="none" w:sz="0" w:space="0" w:color="auto"/>
            <w:left w:val="none" w:sz="0" w:space="0" w:color="auto"/>
            <w:bottom w:val="none" w:sz="0" w:space="0" w:color="auto"/>
            <w:right w:val="none" w:sz="0" w:space="0" w:color="auto"/>
          </w:divBdr>
        </w:div>
        <w:div w:id="1187141368">
          <w:marLeft w:val="0"/>
          <w:marRight w:val="0"/>
          <w:marTop w:val="0"/>
          <w:marBottom w:val="0"/>
          <w:divBdr>
            <w:top w:val="none" w:sz="0" w:space="0" w:color="auto"/>
            <w:left w:val="none" w:sz="0" w:space="0" w:color="auto"/>
            <w:bottom w:val="none" w:sz="0" w:space="0" w:color="auto"/>
            <w:right w:val="none" w:sz="0" w:space="0" w:color="auto"/>
          </w:divBdr>
        </w:div>
        <w:div w:id="1239485943">
          <w:marLeft w:val="0"/>
          <w:marRight w:val="0"/>
          <w:marTop w:val="0"/>
          <w:marBottom w:val="0"/>
          <w:divBdr>
            <w:top w:val="none" w:sz="0" w:space="0" w:color="auto"/>
            <w:left w:val="none" w:sz="0" w:space="0" w:color="auto"/>
            <w:bottom w:val="none" w:sz="0" w:space="0" w:color="auto"/>
            <w:right w:val="none" w:sz="0" w:space="0" w:color="auto"/>
          </w:divBdr>
        </w:div>
        <w:div w:id="1621913650">
          <w:marLeft w:val="0"/>
          <w:marRight w:val="0"/>
          <w:marTop w:val="0"/>
          <w:marBottom w:val="0"/>
          <w:divBdr>
            <w:top w:val="none" w:sz="0" w:space="0" w:color="auto"/>
            <w:left w:val="none" w:sz="0" w:space="0" w:color="auto"/>
            <w:bottom w:val="none" w:sz="0" w:space="0" w:color="auto"/>
            <w:right w:val="none" w:sz="0" w:space="0" w:color="auto"/>
          </w:divBdr>
          <w:divsChild>
            <w:div w:id="69230513">
              <w:marLeft w:val="0"/>
              <w:marRight w:val="0"/>
              <w:marTop w:val="0"/>
              <w:marBottom w:val="0"/>
              <w:divBdr>
                <w:top w:val="none" w:sz="0" w:space="0" w:color="auto"/>
                <w:left w:val="none" w:sz="0" w:space="0" w:color="auto"/>
                <w:bottom w:val="none" w:sz="0" w:space="0" w:color="auto"/>
                <w:right w:val="none" w:sz="0" w:space="0" w:color="auto"/>
              </w:divBdr>
            </w:div>
            <w:div w:id="480117082">
              <w:marLeft w:val="0"/>
              <w:marRight w:val="0"/>
              <w:marTop w:val="0"/>
              <w:marBottom w:val="0"/>
              <w:divBdr>
                <w:top w:val="none" w:sz="0" w:space="0" w:color="auto"/>
                <w:left w:val="none" w:sz="0" w:space="0" w:color="auto"/>
                <w:bottom w:val="none" w:sz="0" w:space="0" w:color="auto"/>
                <w:right w:val="none" w:sz="0" w:space="0" w:color="auto"/>
              </w:divBdr>
            </w:div>
            <w:div w:id="524054673">
              <w:marLeft w:val="0"/>
              <w:marRight w:val="0"/>
              <w:marTop w:val="0"/>
              <w:marBottom w:val="0"/>
              <w:divBdr>
                <w:top w:val="none" w:sz="0" w:space="0" w:color="auto"/>
                <w:left w:val="none" w:sz="0" w:space="0" w:color="auto"/>
                <w:bottom w:val="none" w:sz="0" w:space="0" w:color="auto"/>
                <w:right w:val="none" w:sz="0" w:space="0" w:color="auto"/>
              </w:divBdr>
            </w:div>
            <w:div w:id="800073696">
              <w:marLeft w:val="0"/>
              <w:marRight w:val="0"/>
              <w:marTop w:val="0"/>
              <w:marBottom w:val="0"/>
              <w:divBdr>
                <w:top w:val="none" w:sz="0" w:space="0" w:color="auto"/>
                <w:left w:val="none" w:sz="0" w:space="0" w:color="auto"/>
                <w:bottom w:val="none" w:sz="0" w:space="0" w:color="auto"/>
                <w:right w:val="none" w:sz="0" w:space="0" w:color="auto"/>
              </w:divBdr>
            </w:div>
            <w:div w:id="1645114409">
              <w:marLeft w:val="0"/>
              <w:marRight w:val="0"/>
              <w:marTop w:val="0"/>
              <w:marBottom w:val="0"/>
              <w:divBdr>
                <w:top w:val="none" w:sz="0" w:space="0" w:color="auto"/>
                <w:left w:val="none" w:sz="0" w:space="0" w:color="auto"/>
                <w:bottom w:val="none" w:sz="0" w:space="0" w:color="auto"/>
                <w:right w:val="none" w:sz="0" w:space="0" w:color="auto"/>
              </w:divBdr>
            </w:div>
          </w:divsChild>
        </w:div>
        <w:div w:id="1645239617">
          <w:marLeft w:val="0"/>
          <w:marRight w:val="0"/>
          <w:marTop w:val="0"/>
          <w:marBottom w:val="0"/>
          <w:divBdr>
            <w:top w:val="none" w:sz="0" w:space="0" w:color="auto"/>
            <w:left w:val="none" w:sz="0" w:space="0" w:color="auto"/>
            <w:bottom w:val="none" w:sz="0" w:space="0" w:color="auto"/>
            <w:right w:val="none" w:sz="0" w:space="0" w:color="auto"/>
          </w:divBdr>
        </w:div>
        <w:div w:id="1919439068">
          <w:marLeft w:val="0"/>
          <w:marRight w:val="0"/>
          <w:marTop w:val="0"/>
          <w:marBottom w:val="0"/>
          <w:divBdr>
            <w:top w:val="none" w:sz="0" w:space="0" w:color="auto"/>
            <w:left w:val="none" w:sz="0" w:space="0" w:color="auto"/>
            <w:bottom w:val="none" w:sz="0" w:space="0" w:color="auto"/>
            <w:right w:val="none" w:sz="0" w:space="0" w:color="auto"/>
          </w:divBdr>
        </w:div>
      </w:divsChild>
    </w:div>
    <w:div w:id="212500389">
      <w:bodyDiv w:val="1"/>
      <w:marLeft w:val="0"/>
      <w:marRight w:val="0"/>
      <w:marTop w:val="0"/>
      <w:marBottom w:val="0"/>
      <w:divBdr>
        <w:top w:val="none" w:sz="0" w:space="0" w:color="auto"/>
        <w:left w:val="none" w:sz="0" w:space="0" w:color="auto"/>
        <w:bottom w:val="none" w:sz="0" w:space="0" w:color="auto"/>
        <w:right w:val="none" w:sz="0" w:space="0" w:color="auto"/>
      </w:divBdr>
    </w:div>
    <w:div w:id="317460826">
      <w:bodyDiv w:val="1"/>
      <w:marLeft w:val="0"/>
      <w:marRight w:val="0"/>
      <w:marTop w:val="0"/>
      <w:marBottom w:val="0"/>
      <w:divBdr>
        <w:top w:val="none" w:sz="0" w:space="0" w:color="auto"/>
        <w:left w:val="none" w:sz="0" w:space="0" w:color="auto"/>
        <w:bottom w:val="none" w:sz="0" w:space="0" w:color="auto"/>
        <w:right w:val="none" w:sz="0" w:space="0" w:color="auto"/>
      </w:divBdr>
    </w:div>
    <w:div w:id="324823249">
      <w:bodyDiv w:val="1"/>
      <w:marLeft w:val="0"/>
      <w:marRight w:val="0"/>
      <w:marTop w:val="0"/>
      <w:marBottom w:val="0"/>
      <w:divBdr>
        <w:top w:val="none" w:sz="0" w:space="0" w:color="auto"/>
        <w:left w:val="none" w:sz="0" w:space="0" w:color="auto"/>
        <w:bottom w:val="none" w:sz="0" w:space="0" w:color="auto"/>
        <w:right w:val="none" w:sz="0" w:space="0" w:color="auto"/>
      </w:divBdr>
    </w:div>
    <w:div w:id="325399784">
      <w:bodyDiv w:val="1"/>
      <w:marLeft w:val="0"/>
      <w:marRight w:val="0"/>
      <w:marTop w:val="0"/>
      <w:marBottom w:val="0"/>
      <w:divBdr>
        <w:top w:val="none" w:sz="0" w:space="0" w:color="auto"/>
        <w:left w:val="none" w:sz="0" w:space="0" w:color="auto"/>
        <w:bottom w:val="none" w:sz="0" w:space="0" w:color="auto"/>
        <w:right w:val="none" w:sz="0" w:space="0" w:color="auto"/>
      </w:divBdr>
    </w:div>
    <w:div w:id="394400335">
      <w:bodyDiv w:val="1"/>
      <w:marLeft w:val="0"/>
      <w:marRight w:val="0"/>
      <w:marTop w:val="0"/>
      <w:marBottom w:val="0"/>
      <w:divBdr>
        <w:top w:val="none" w:sz="0" w:space="0" w:color="auto"/>
        <w:left w:val="none" w:sz="0" w:space="0" w:color="auto"/>
        <w:bottom w:val="none" w:sz="0" w:space="0" w:color="auto"/>
        <w:right w:val="none" w:sz="0" w:space="0" w:color="auto"/>
      </w:divBdr>
    </w:div>
    <w:div w:id="403570755">
      <w:bodyDiv w:val="1"/>
      <w:marLeft w:val="0"/>
      <w:marRight w:val="0"/>
      <w:marTop w:val="0"/>
      <w:marBottom w:val="0"/>
      <w:divBdr>
        <w:top w:val="none" w:sz="0" w:space="0" w:color="auto"/>
        <w:left w:val="none" w:sz="0" w:space="0" w:color="auto"/>
        <w:bottom w:val="none" w:sz="0" w:space="0" w:color="auto"/>
        <w:right w:val="none" w:sz="0" w:space="0" w:color="auto"/>
      </w:divBdr>
    </w:div>
    <w:div w:id="404454187">
      <w:bodyDiv w:val="1"/>
      <w:marLeft w:val="0"/>
      <w:marRight w:val="0"/>
      <w:marTop w:val="0"/>
      <w:marBottom w:val="0"/>
      <w:divBdr>
        <w:top w:val="none" w:sz="0" w:space="0" w:color="auto"/>
        <w:left w:val="none" w:sz="0" w:space="0" w:color="auto"/>
        <w:bottom w:val="none" w:sz="0" w:space="0" w:color="auto"/>
        <w:right w:val="none" w:sz="0" w:space="0" w:color="auto"/>
      </w:divBdr>
    </w:div>
    <w:div w:id="412051693">
      <w:bodyDiv w:val="1"/>
      <w:marLeft w:val="0"/>
      <w:marRight w:val="0"/>
      <w:marTop w:val="0"/>
      <w:marBottom w:val="0"/>
      <w:divBdr>
        <w:top w:val="none" w:sz="0" w:space="0" w:color="auto"/>
        <w:left w:val="none" w:sz="0" w:space="0" w:color="auto"/>
        <w:bottom w:val="none" w:sz="0" w:space="0" w:color="auto"/>
        <w:right w:val="none" w:sz="0" w:space="0" w:color="auto"/>
      </w:divBdr>
    </w:div>
    <w:div w:id="486091491">
      <w:bodyDiv w:val="1"/>
      <w:marLeft w:val="0"/>
      <w:marRight w:val="0"/>
      <w:marTop w:val="0"/>
      <w:marBottom w:val="0"/>
      <w:divBdr>
        <w:top w:val="none" w:sz="0" w:space="0" w:color="auto"/>
        <w:left w:val="none" w:sz="0" w:space="0" w:color="auto"/>
        <w:bottom w:val="none" w:sz="0" w:space="0" w:color="auto"/>
        <w:right w:val="none" w:sz="0" w:space="0" w:color="auto"/>
      </w:divBdr>
    </w:div>
    <w:div w:id="511990522">
      <w:bodyDiv w:val="1"/>
      <w:marLeft w:val="0"/>
      <w:marRight w:val="0"/>
      <w:marTop w:val="0"/>
      <w:marBottom w:val="0"/>
      <w:divBdr>
        <w:top w:val="none" w:sz="0" w:space="0" w:color="auto"/>
        <w:left w:val="none" w:sz="0" w:space="0" w:color="auto"/>
        <w:bottom w:val="none" w:sz="0" w:space="0" w:color="auto"/>
        <w:right w:val="none" w:sz="0" w:space="0" w:color="auto"/>
      </w:divBdr>
    </w:div>
    <w:div w:id="637339879">
      <w:bodyDiv w:val="1"/>
      <w:marLeft w:val="0"/>
      <w:marRight w:val="0"/>
      <w:marTop w:val="0"/>
      <w:marBottom w:val="0"/>
      <w:divBdr>
        <w:top w:val="none" w:sz="0" w:space="0" w:color="auto"/>
        <w:left w:val="none" w:sz="0" w:space="0" w:color="auto"/>
        <w:bottom w:val="none" w:sz="0" w:space="0" w:color="auto"/>
        <w:right w:val="none" w:sz="0" w:space="0" w:color="auto"/>
      </w:divBdr>
    </w:div>
    <w:div w:id="989016456">
      <w:bodyDiv w:val="1"/>
      <w:marLeft w:val="0"/>
      <w:marRight w:val="0"/>
      <w:marTop w:val="0"/>
      <w:marBottom w:val="0"/>
      <w:divBdr>
        <w:top w:val="none" w:sz="0" w:space="0" w:color="auto"/>
        <w:left w:val="none" w:sz="0" w:space="0" w:color="auto"/>
        <w:bottom w:val="none" w:sz="0" w:space="0" w:color="auto"/>
        <w:right w:val="none" w:sz="0" w:space="0" w:color="auto"/>
      </w:divBdr>
    </w:div>
    <w:div w:id="1002390244">
      <w:bodyDiv w:val="1"/>
      <w:marLeft w:val="0"/>
      <w:marRight w:val="0"/>
      <w:marTop w:val="0"/>
      <w:marBottom w:val="0"/>
      <w:divBdr>
        <w:top w:val="none" w:sz="0" w:space="0" w:color="auto"/>
        <w:left w:val="none" w:sz="0" w:space="0" w:color="auto"/>
        <w:bottom w:val="none" w:sz="0" w:space="0" w:color="auto"/>
        <w:right w:val="none" w:sz="0" w:space="0" w:color="auto"/>
      </w:divBdr>
    </w:div>
    <w:div w:id="1121149936">
      <w:bodyDiv w:val="1"/>
      <w:marLeft w:val="0"/>
      <w:marRight w:val="0"/>
      <w:marTop w:val="0"/>
      <w:marBottom w:val="0"/>
      <w:divBdr>
        <w:top w:val="none" w:sz="0" w:space="0" w:color="auto"/>
        <w:left w:val="none" w:sz="0" w:space="0" w:color="auto"/>
        <w:bottom w:val="none" w:sz="0" w:space="0" w:color="auto"/>
        <w:right w:val="none" w:sz="0" w:space="0" w:color="auto"/>
      </w:divBdr>
      <w:divsChild>
        <w:div w:id="965695846">
          <w:marLeft w:val="0"/>
          <w:marRight w:val="0"/>
          <w:marTop w:val="0"/>
          <w:marBottom w:val="0"/>
          <w:divBdr>
            <w:top w:val="none" w:sz="0" w:space="0" w:color="auto"/>
            <w:left w:val="none" w:sz="0" w:space="0" w:color="auto"/>
            <w:bottom w:val="none" w:sz="0" w:space="0" w:color="auto"/>
            <w:right w:val="none" w:sz="0" w:space="0" w:color="auto"/>
          </w:divBdr>
        </w:div>
        <w:div w:id="1144086460">
          <w:marLeft w:val="0"/>
          <w:marRight w:val="0"/>
          <w:marTop w:val="0"/>
          <w:marBottom w:val="0"/>
          <w:divBdr>
            <w:top w:val="none" w:sz="0" w:space="0" w:color="auto"/>
            <w:left w:val="none" w:sz="0" w:space="0" w:color="auto"/>
            <w:bottom w:val="none" w:sz="0" w:space="0" w:color="auto"/>
            <w:right w:val="none" w:sz="0" w:space="0" w:color="auto"/>
          </w:divBdr>
        </w:div>
      </w:divsChild>
    </w:div>
    <w:div w:id="1255280860">
      <w:bodyDiv w:val="1"/>
      <w:marLeft w:val="0"/>
      <w:marRight w:val="0"/>
      <w:marTop w:val="0"/>
      <w:marBottom w:val="0"/>
      <w:divBdr>
        <w:top w:val="none" w:sz="0" w:space="0" w:color="auto"/>
        <w:left w:val="none" w:sz="0" w:space="0" w:color="auto"/>
        <w:bottom w:val="none" w:sz="0" w:space="0" w:color="auto"/>
        <w:right w:val="none" w:sz="0" w:space="0" w:color="auto"/>
      </w:divBdr>
      <w:divsChild>
        <w:div w:id="1485391044">
          <w:marLeft w:val="0"/>
          <w:marRight w:val="0"/>
          <w:marTop w:val="0"/>
          <w:marBottom w:val="0"/>
          <w:divBdr>
            <w:top w:val="none" w:sz="0" w:space="0" w:color="auto"/>
            <w:left w:val="none" w:sz="0" w:space="0" w:color="auto"/>
            <w:bottom w:val="none" w:sz="0" w:space="0" w:color="auto"/>
            <w:right w:val="none" w:sz="0" w:space="0" w:color="auto"/>
          </w:divBdr>
          <w:divsChild>
            <w:div w:id="103310232">
              <w:marLeft w:val="0"/>
              <w:marRight w:val="0"/>
              <w:marTop w:val="0"/>
              <w:marBottom w:val="0"/>
              <w:divBdr>
                <w:top w:val="none" w:sz="0" w:space="0" w:color="auto"/>
                <w:left w:val="none" w:sz="0" w:space="0" w:color="auto"/>
                <w:bottom w:val="none" w:sz="0" w:space="0" w:color="auto"/>
                <w:right w:val="none" w:sz="0" w:space="0" w:color="auto"/>
              </w:divBdr>
            </w:div>
          </w:divsChild>
        </w:div>
        <w:div w:id="2065372205">
          <w:marLeft w:val="0"/>
          <w:marRight w:val="0"/>
          <w:marTop w:val="0"/>
          <w:marBottom w:val="0"/>
          <w:divBdr>
            <w:top w:val="none" w:sz="0" w:space="0" w:color="auto"/>
            <w:left w:val="none" w:sz="0" w:space="0" w:color="auto"/>
            <w:bottom w:val="none" w:sz="0" w:space="0" w:color="auto"/>
            <w:right w:val="none" w:sz="0" w:space="0" w:color="auto"/>
          </w:divBdr>
          <w:divsChild>
            <w:div w:id="5342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2410">
      <w:bodyDiv w:val="1"/>
      <w:marLeft w:val="0"/>
      <w:marRight w:val="0"/>
      <w:marTop w:val="0"/>
      <w:marBottom w:val="0"/>
      <w:divBdr>
        <w:top w:val="none" w:sz="0" w:space="0" w:color="auto"/>
        <w:left w:val="none" w:sz="0" w:space="0" w:color="auto"/>
        <w:bottom w:val="none" w:sz="0" w:space="0" w:color="auto"/>
        <w:right w:val="none" w:sz="0" w:space="0" w:color="auto"/>
      </w:divBdr>
    </w:div>
    <w:div w:id="1591237769">
      <w:bodyDiv w:val="1"/>
      <w:marLeft w:val="0"/>
      <w:marRight w:val="0"/>
      <w:marTop w:val="0"/>
      <w:marBottom w:val="0"/>
      <w:divBdr>
        <w:top w:val="none" w:sz="0" w:space="0" w:color="auto"/>
        <w:left w:val="none" w:sz="0" w:space="0" w:color="auto"/>
        <w:bottom w:val="none" w:sz="0" w:space="0" w:color="auto"/>
        <w:right w:val="none" w:sz="0" w:space="0" w:color="auto"/>
      </w:divBdr>
    </w:div>
    <w:div w:id="1666206301">
      <w:bodyDiv w:val="1"/>
      <w:marLeft w:val="0"/>
      <w:marRight w:val="0"/>
      <w:marTop w:val="0"/>
      <w:marBottom w:val="0"/>
      <w:divBdr>
        <w:top w:val="none" w:sz="0" w:space="0" w:color="auto"/>
        <w:left w:val="none" w:sz="0" w:space="0" w:color="auto"/>
        <w:bottom w:val="none" w:sz="0" w:space="0" w:color="auto"/>
        <w:right w:val="none" w:sz="0" w:space="0" w:color="auto"/>
      </w:divBdr>
    </w:div>
    <w:div w:id="1726443936">
      <w:bodyDiv w:val="1"/>
      <w:marLeft w:val="0"/>
      <w:marRight w:val="0"/>
      <w:marTop w:val="0"/>
      <w:marBottom w:val="0"/>
      <w:divBdr>
        <w:top w:val="none" w:sz="0" w:space="0" w:color="auto"/>
        <w:left w:val="none" w:sz="0" w:space="0" w:color="auto"/>
        <w:bottom w:val="none" w:sz="0" w:space="0" w:color="auto"/>
        <w:right w:val="none" w:sz="0" w:space="0" w:color="auto"/>
      </w:divBdr>
    </w:div>
    <w:div w:id="2033414498">
      <w:bodyDiv w:val="1"/>
      <w:marLeft w:val="0"/>
      <w:marRight w:val="0"/>
      <w:marTop w:val="0"/>
      <w:marBottom w:val="0"/>
      <w:divBdr>
        <w:top w:val="none" w:sz="0" w:space="0" w:color="auto"/>
        <w:left w:val="none" w:sz="0" w:space="0" w:color="auto"/>
        <w:bottom w:val="none" w:sz="0" w:space="0" w:color="auto"/>
        <w:right w:val="none" w:sz="0" w:space="0" w:color="auto"/>
      </w:divBdr>
    </w:div>
    <w:div w:id="2127507241">
      <w:bodyDiv w:val="1"/>
      <w:marLeft w:val="0"/>
      <w:marRight w:val="0"/>
      <w:marTop w:val="0"/>
      <w:marBottom w:val="0"/>
      <w:divBdr>
        <w:top w:val="none" w:sz="0" w:space="0" w:color="auto"/>
        <w:left w:val="none" w:sz="0" w:space="0" w:color="auto"/>
        <w:bottom w:val="none" w:sz="0" w:space="0" w:color="auto"/>
        <w:right w:val="none" w:sz="0" w:space="0" w:color="auto"/>
      </w:divBdr>
    </w:div>
    <w:div w:id="2136749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office.disk.aber.ac.uk\hse-shared\Energy-Management-RESTORED\Net%20Zero%202030\Simple%20Net%20Zero%20Model%20-%20Copy%20with%20Historical%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Model!$B$26</c:f>
              <c:strCache>
                <c:ptCount val="1"/>
                <c:pt idx="0">
                  <c:v>Total net emissions (kgCO2e)</c:v>
                </c:pt>
              </c:strCache>
            </c:strRef>
          </c:tx>
          <c:spPr>
            <a:ln w="28575" cap="rnd">
              <a:solidFill>
                <a:schemeClr val="accent1"/>
              </a:solidFill>
              <a:round/>
            </a:ln>
            <a:effectLst/>
          </c:spPr>
          <c:marker>
            <c:symbol val="none"/>
          </c:marker>
          <c:dPt>
            <c:idx val="5"/>
            <c:marker>
              <c:symbol val="none"/>
            </c:marker>
            <c:bubble3D val="0"/>
            <c:spPr>
              <a:ln w="28575" cap="rnd">
                <a:solidFill>
                  <a:schemeClr val="accent1"/>
                </a:solidFill>
                <a:prstDash val="sysDash"/>
                <a:round/>
              </a:ln>
              <a:effectLst/>
            </c:spPr>
            <c:extLst>
              <c:ext xmlns:c16="http://schemas.microsoft.com/office/drawing/2014/chart" uri="{C3380CC4-5D6E-409C-BE32-E72D297353CC}">
                <c16:uniqueId val="{00000001-DF6E-46EF-947B-8164A462D4C4}"/>
              </c:ext>
            </c:extLst>
          </c:dPt>
          <c:dPt>
            <c:idx val="6"/>
            <c:marker>
              <c:symbol val="none"/>
            </c:marker>
            <c:bubble3D val="0"/>
            <c:spPr>
              <a:ln w="28575" cap="rnd">
                <a:solidFill>
                  <a:schemeClr val="accent1"/>
                </a:solidFill>
                <a:prstDash val="sysDash"/>
                <a:round/>
              </a:ln>
              <a:effectLst/>
            </c:spPr>
            <c:extLst>
              <c:ext xmlns:c16="http://schemas.microsoft.com/office/drawing/2014/chart" uri="{C3380CC4-5D6E-409C-BE32-E72D297353CC}">
                <c16:uniqueId val="{00000003-DF6E-46EF-947B-8164A462D4C4}"/>
              </c:ext>
            </c:extLst>
          </c:dPt>
          <c:dPt>
            <c:idx val="7"/>
            <c:marker>
              <c:symbol val="none"/>
            </c:marker>
            <c:bubble3D val="0"/>
            <c:spPr>
              <a:ln w="28575" cap="rnd">
                <a:solidFill>
                  <a:schemeClr val="accent1"/>
                </a:solidFill>
                <a:prstDash val="sysDash"/>
                <a:round/>
              </a:ln>
              <a:effectLst/>
            </c:spPr>
            <c:extLst>
              <c:ext xmlns:c16="http://schemas.microsoft.com/office/drawing/2014/chart" uri="{C3380CC4-5D6E-409C-BE32-E72D297353CC}">
                <c16:uniqueId val="{00000005-DF6E-46EF-947B-8164A462D4C4}"/>
              </c:ext>
            </c:extLst>
          </c:dPt>
          <c:dPt>
            <c:idx val="8"/>
            <c:marker>
              <c:symbol val="none"/>
            </c:marker>
            <c:bubble3D val="0"/>
            <c:spPr>
              <a:ln w="28575" cap="rnd">
                <a:solidFill>
                  <a:schemeClr val="accent1"/>
                </a:solidFill>
                <a:prstDash val="sysDash"/>
                <a:round/>
              </a:ln>
              <a:effectLst/>
            </c:spPr>
            <c:extLst>
              <c:ext xmlns:c16="http://schemas.microsoft.com/office/drawing/2014/chart" uri="{C3380CC4-5D6E-409C-BE32-E72D297353CC}">
                <c16:uniqueId val="{00000007-DF6E-46EF-947B-8164A462D4C4}"/>
              </c:ext>
            </c:extLst>
          </c:dPt>
          <c:dPt>
            <c:idx val="9"/>
            <c:marker>
              <c:symbol val="none"/>
            </c:marker>
            <c:bubble3D val="0"/>
            <c:spPr>
              <a:ln w="28575" cap="rnd">
                <a:solidFill>
                  <a:schemeClr val="accent1"/>
                </a:solidFill>
                <a:prstDash val="sysDash"/>
                <a:round/>
              </a:ln>
              <a:effectLst/>
            </c:spPr>
            <c:extLst>
              <c:ext xmlns:c16="http://schemas.microsoft.com/office/drawing/2014/chart" uri="{C3380CC4-5D6E-409C-BE32-E72D297353CC}">
                <c16:uniqueId val="{00000009-DF6E-46EF-947B-8164A462D4C4}"/>
              </c:ext>
            </c:extLst>
          </c:dPt>
          <c:dPt>
            <c:idx val="10"/>
            <c:marker>
              <c:symbol val="none"/>
            </c:marker>
            <c:bubble3D val="0"/>
            <c:spPr>
              <a:ln w="28575" cap="rnd">
                <a:solidFill>
                  <a:schemeClr val="accent1"/>
                </a:solidFill>
                <a:prstDash val="sysDash"/>
                <a:round/>
              </a:ln>
              <a:effectLst/>
            </c:spPr>
            <c:extLst>
              <c:ext xmlns:c16="http://schemas.microsoft.com/office/drawing/2014/chart" uri="{C3380CC4-5D6E-409C-BE32-E72D297353CC}">
                <c16:uniqueId val="{0000000B-DF6E-46EF-947B-8164A462D4C4}"/>
              </c:ext>
            </c:extLst>
          </c:dPt>
          <c:dPt>
            <c:idx val="11"/>
            <c:marker>
              <c:symbol val="none"/>
            </c:marker>
            <c:bubble3D val="0"/>
            <c:spPr>
              <a:ln w="28575" cap="rnd">
                <a:solidFill>
                  <a:schemeClr val="accent1"/>
                </a:solidFill>
                <a:prstDash val="sysDash"/>
                <a:round/>
              </a:ln>
              <a:effectLst/>
            </c:spPr>
            <c:extLst>
              <c:ext xmlns:c16="http://schemas.microsoft.com/office/drawing/2014/chart" uri="{C3380CC4-5D6E-409C-BE32-E72D297353CC}">
                <c16:uniqueId val="{0000000D-DF6E-46EF-947B-8164A462D4C4}"/>
              </c:ext>
            </c:extLst>
          </c:dPt>
          <c:cat>
            <c:strRef>
              <c:f>Model!$C$2:$N$2</c:f>
              <c:strCache>
                <c:ptCount val="12"/>
                <c:pt idx="0">
                  <c:v>2019/20</c:v>
                </c:pt>
                <c:pt idx="1">
                  <c:v>2020/21</c:v>
                </c:pt>
                <c:pt idx="2">
                  <c:v>2021/22</c:v>
                </c:pt>
                <c:pt idx="3">
                  <c:v>2022/23</c:v>
                </c:pt>
                <c:pt idx="4">
                  <c:v>2023/24</c:v>
                </c:pt>
                <c:pt idx="5">
                  <c:v>2024/25</c:v>
                </c:pt>
                <c:pt idx="6">
                  <c:v>2025/26</c:v>
                </c:pt>
                <c:pt idx="7">
                  <c:v>2026/27</c:v>
                </c:pt>
                <c:pt idx="8">
                  <c:v>2027/28</c:v>
                </c:pt>
                <c:pt idx="9">
                  <c:v>2028/29</c:v>
                </c:pt>
                <c:pt idx="10">
                  <c:v>2029/30</c:v>
                </c:pt>
                <c:pt idx="11">
                  <c:v>2030/31</c:v>
                </c:pt>
              </c:strCache>
            </c:strRef>
          </c:cat>
          <c:val>
            <c:numRef>
              <c:f>Model!$C$26:$N$26</c:f>
              <c:numCache>
                <c:formatCode>#,##0</c:formatCode>
                <c:ptCount val="12"/>
                <c:pt idx="0">
                  <c:v>16429308.759999998</c:v>
                </c:pt>
                <c:pt idx="1">
                  <c:v>11085847.380000001</c:v>
                </c:pt>
                <c:pt idx="2">
                  <c:v>11405926.937451068</c:v>
                </c:pt>
                <c:pt idx="3">
                  <c:v>11201876.716848275</c:v>
                </c:pt>
                <c:pt idx="4">
                  <c:v>9347044.5532552749</c:v>
                </c:pt>
                <c:pt idx="5">
                  <c:v>9064264.9151496682</c:v>
                </c:pt>
                <c:pt idx="6">
                  <c:v>8734588.661820069</c:v>
                </c:pt>
                <c:pt idx="7">
                  <c:v>8404912.4084904697</c:v>
                </c:pt>
                <c:pt idx="8">
                  <c:v>8075236.1551608685</c:v>
                </c:pt>
                <c:pt idx="9">
                  <c:v>7745559.9018312693</c:v>
                </c:pt>
                <c:pt idx="10">
                  <c:v>7415883.6485016681</c:v>
                </c:pt>
                <c:pt idx="11">
                  <c:v>7086207.3951720688</c:v>
                </c:pt>
              </c:numCache>
            </c:numRef>
          </c:val>
          <c:smooth val="0"/>
          <c:extLst>
            <c:ext xmlns:c16="http://schemas.microsoft.com/office/drawing/2014/chart" uri="{C3380CC4-5D6E-409C-BE32-E72D297353CC}">
              <c16:uniqueId val="{0000000E-DF6E-46EF-947B-8164A462D4C4}"/>
            </c:ext>
          </c:extLst>
        </c:ser>
        <c:ser>
          <c:idx val="1"/>
          <c:order val="1"/>
          <c:tx>
            <c:strRef>
              <c:f>Model!$B$28</c:f>
              <c:strCache>
                <c:ptCount val="1"/>
                <c:pt idx="0">
                  <c:v>Net Zero target line</c:v>
                </c:pt>
              </c:strCache>
            </c:strRef>
          </c:tx>
          <c:spPr>
            <a:ln w="28575" cap="rnd">
              <a:solidFill>
                <a:schemeClr val="accent2"/>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F-DF6E-46EF-947B-8164A462D4C4}"/>
                </c:ext>
              </c:extLst>
            </c:dLbl>
            <c:dLbl>
              <c:idx val="1"/>
              <c:delete val="1"/>
              <c:extLst>
                <c:ext xmlns:c15="http://schemas.microsoft.com/office/drawing/2012/chart" uri="{CE6537A1-D6FC-4f65-9D91-7224C49458BB}"/>
                <c:ext xmlns:c16="http://schemas.microsoft.com/office/drawing/2014/chart" uri="{C3380CC4-5D6E-409C-BE32-E72D297353CC}">
                  <c16:uniqueId val="{00000010-DF6E-46EF-947B-8164A462D4C4}"/>
                </c:ext>
              </c:extLst>
            </c:dLbl>
            <c:dLbl>
              <c:idx val="2"/>
              <c:delete val="1"/>
              <c:extLst>
                <c:ext xmlns:c15="http://schemas.microsoft.com/office/drawing/2012/chart" uri="{CE6537A1-D6FC-4f65-9D91-7224C49458BB}"/>
                <c:ext xmlns:c16="http://schemas.microsoft.com/office/drawing/2014/chart" uri="{C3380CC4-5D6E-409C-BE32-E72D297353CC}">
                  <c16:uniqueId val="{00000011-DF6E-46EF-947B-8164A462D4C4}"/>
                </c:ext>
              </c:extLst>
            </c:dLbl>
            <c:dLbl>
              <c:idx val="3"/>
              <c:delete val="1"/>
              <c:extLst>
                <c:ext xmlns:c15="http://schemas.microsoft.com/office/drawing/2012/chart" uri="{CE6537A1-D6FC-4f65-9D91-7224C49458BB}"/>
                <c:ext xmlns:c16="http://schemas.microsoft.com/office/drawing/2014/chart" uri="{C3380CC4-5D6E-409C-BE32-E72D297353CC}">
                  <c16:uniqueId val="{00000012-DF6E-46EF-947B-8164A462D4C4}"/>
                </c:ext>
              </c:extLst>
            </c:dLbl>
            <c:dLbl>
              <c:idx val="4"/>
              <c:delete val="1"/>
              <c:extLst>
                <c:ext xmlns:c15="http://schemas.microsoft.com/office/drawing/2012/chart" uri="{CE6537A1-D6FC-4f65-9D91-7224C49458BB}">
                  <c15:layout>
                    <c:manualLayout>
                      <c:w val="0.14953435072152682"/>
                      <c:h val="6.285394610478108E-2"/>
                    </c:manualLayout>
                  </c15:layout>
                </c:ext>
                <c:ext xmlns:c16="http://schemas.microsoft.com/office/drawing/2014/chart" uri="{C3380CC4-5D6E-409C-BE32-E72D297353CC}">
                  <c16:uniqueId val="{00000013-DF6E-46EF-947B-8164A462D4C4}"/>
                </c:ext>
              </c:extLst>
            </c:dLbl>
            <c:dLbl>
              <c:idx val="5"/>
              <c:delete val="1"/>
              <c:extLst>
                <c:ext xmlns:c15="http://schemas.microsoft.com/office/drawing/2012/chart" uri="{CE6537A1-D6FC-4f65-9D91-7224C49458BB}"/>
                <c:ext xmlns:c16="http://schemas.microsoft.com/office/drawing/2014/chart" uri="{C3380CC4-5D6E-409C-BE32-E72D297353CC}">
                  <c16:uniqueId val="{00000014-DF6E-46EF-947B-8164A462D4C4}"/>
                </c:ext>
              </c:extLst>
            </c:dLbl>
            <c:dLbl>
              <c:idx val="6"/>
              <c:delete val="1"/>
              <c:extLst>
                <c:ext xmlns:c15="http://schemas.microsoft.com/office/drawing/2012/chart" uri="{CE6537A1-D6FC-4f65-9D91-7224C49458BB}"/>
                <c:ext xmlns:c16="http://schemas.microsoft.com/office/drawing/2014/chart" uri="{C3380CC4-5D6E-409C-BE32-E72D297353CC}">
                  <c16:uniqueId val="{00000015-DF6E-46EF-947B-8164A462D4C4}"/>
                </c:ext>
              </c:extLst>
            </c:dLbl>
            <c:dLbl>
              <c:idx val="7"/>
              <c:delete val="1"/>
              <c:extLst>
                <c:ext xmlns:c15="http://schemas.microsoft.com/office/drawing/2012/chart" uri="{CE6537A1-D6FC-4f65-9D91-7224C49458BB}"/>
                <c:ext xmlns:c16="http://schemas.microsoft.com/office/drawing/2014/chart" uri="{C3380CC4-5D6E-409C-BE32-E72D297353CC}">
                  <c16:uniqueId val="{00000016-DF6E-46EF-947B-8164A462D4C4}"/>
                </c:ext>
              </c:extLst>
            </c:dLbl>
            <c:dLbl>
              <c:idx val="8"/>
              <c:delete val="1"/>
              <c:extLst>
                <c:ext xmlns:c15="http://schemas.microsoft.com/office/drawing/2012/chart" uri="{CE6537A1-D6FC-4f65-9D91-7224C49458BB}"/>
                <c:ext xmlns:c16="http://schemas.microsoft.com/office/drawing/2014/chart" uri="{C3380CC4-5D6E-409C-BE32-E72D297353CC}">
                  <c16:uniqueId val="{00000017-DF6E-46EF-947B-8164A462D4C4}"/>
                </c:ext>
              </c:extLst>
            </c:dLbl>
            <c:dLbl>
              <c:idx val="9"/>
              <c:delete val="1"/>
              <c:extLst>
                <c:ext xmlns:c15="http://schemas.microsoft.com/office/drawing/2012/chart" uri="{CE6537A1-D6FC-4f65-9D91-7224C49458BB}"/>
                <c:ext xmlns:c16="http://schemas.microsoft.com/office/drawing/2014/chart" uri="{C3380CC4-5D6E-409C-BE32-E72D297353CC}">
                  <c16:uniqueId val="{00000018-DF6E-46EF-947B-8164A462D4C4}"/>
                </c:ext>
              </c:extLst>
            </c:dLbl>
            <c:dLbl>
              <c:idx val="10"/>
              <c:delete val="1"/>
              <c:extLst>
                <c:ext xmlns:c15="http://schemas.microsoft.com/office/drawing/2012/chart" uri="{CE6537A1-D6FC-4f65-9D91-7224C49458BB}"/>
                <c:ext xmlns:c16="http://schemas.microsoft.com/office/drawing/2014/chart" uri="{C3380CC4-5D6E-409C-BE32-E72D297353CC}">
                  <c16:uniqueId val="{00000019-DF6E-46EF-947B-8164A462D4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Model!$C$2:$N$2</c:f>
              <c:strCache>
                <c:ptCount val="12"/>
                <c:pt idx="0">
                  <c:v>2019/20</c:v>
                </c:pt>
                <c:pt idx="1">
                  <c:v>2020/21</c:v>
                </c:pt>
                <c:pt idx="2">
                  <c:v>2021/22</c:v>
                </c:pt>
                <c:pt idx="3">
                  <c:v>2022/23</c:v>
                </c:pt>
                <c:pt idx="4">
                  <c:v>2023/24</c:v>
                </c:pt>
                <c:pt idx="5">
                  <c:v>2024/25</c:v>
                </c:pt>
                <c:pt idx="6">
                  <c:v>2025/26</c:v>
                </c:pt>
                <c:pt idx="7">
                  <c:v>2026/27</c:v>
                </c:pt>
                <c:pt idx="8">
                  <c:v>2027/28</c:v>
                </c:pt>
                <c:pt idx="9">
                  <c:v>2028/29</c:v>
                </c:pt>
                <c:pt idx="10">
                  <c:v>2029/30</c:v>
                </c:pt>
                <c:pt idx="11">
                  <c:v>2030/31</c:v>
                </c:pt>
              </c:strCache>
            </c:strRef>
          </c:cat>
          <c:val>
            <c:numRef>
              <c:f>Model!$C$28:$N$28</c:f>
              <c:numCache>
                <c:formatCode>_(* #,##0.00_);_(* \(#,##0.00\);_(* "-"??_);_(@_)</c:formatCode>
                <c:ptCount val="12"/>
                <c:pt idx="0">
                  <c:v>16429308.759999998</c:v>
                </c:pt>
                <c:pt idx="1">
                  <c:v>14935735.236363634</c:v>
                </c:pt>
                <c:pt idx="2">
                  <c:v>13442161.712727271</c:v>
                </c:pt>
                <c:pt idx="3">
                  <c:v>11948588.189090908</c:v>
                </c:pt>
                <c:pt idx="4">
                  <c:v>10455014.665454544</c:v>
                </c:pt>
                <c:pt idx="5">
                  <c:v>8961441.1418181807</c:v>
                </c:pt>
                <c:pt idx="6">
                  <c:v>7467867.6181818172</c:v>
                </c:pt>
                <c:pt idx="7">
                  <c:v>5974294.0945454538</c:v>
                </c:pt>
                <c:pt idx="8">
                  <c:v>4480720.5709090903</c:v>
                </c:pt>
                <c:pt idx="9">
                  <c:v>2987147.0472727269</c:v>
                </c:pt>
                <c:pt idx="10">
                  <c:v>1493573.5236363634</c:v>
                </c:pt>
                <c:pt idx="11">
                  <c:v>0</c:v>
                </c:pt>
              </c:numCache>
            </c:numRef>
          </c:val>
          <c:smooth val="0"/>
          <c:extLst>
            <c:ext xmlns:c16="http://schemas.microsoft.com/office/drawing/2014/chart" uri="{C3380CC4-5D6E-409C-BE32-E72D297353CC}">
              <c16:uniqueId val="{0000001A-DF6E-46EF-947B-8164A462D4C4}"/>
            </c:ext>
          </c:extLst>
        </c:ser>
        <c:dLbls>
          <c:showLegendKey val="0"/>
          <c:showVal val="0"/>
          <c:showCatName val="0"/>
          <c:showSerName val="0"/>
          <c:showPercent val="0"/>
          <c:showBubbleSize val="0"/>
        </c:dLbls>
        <c:smooth val="0"/>
        <c:axId val="230162351"/>
        <c:axId val="230161391"/>
      </c:lineChart>
      <c:catAx>
        <c:axId val="230162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61391"/>
        <c:crosses val="autoZero"/>
        <c:auto val="1"/>
        <c:lblAlgn val="ctr"/>
        <c:lblOffset val="100"/>
        <c:noMultiLvlLbl val="0"/>
      </c:catAx>
      <c:valAx>
        <c:axId val="23016139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6235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225AE-7256-4204-A873-7D4885A0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Jones [jsj] (Staff)</dc:creator>
  <cp:keywords/>
  <dc:description/>
  <cp:lastModifiedBy>Dewi Day [ded17] (Staff)</cp:lastModifiedBy>
  <cp:revision>3</cp:revision>
  <dcterms:created xsi:type="dcterms:W3CDTF">2025-06-18T13:34:00Z</dcterms:created>
  <dcterms:modified xsi:type="dcterms:W3CDTF">2025-06-18T13:35:00Z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2023-02-08T10:10:33Z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e23381e0-f96e-4352-bf29-bf22ae72d0a8</vt:lpwstr>
  </property>
  <property fmtid="{D5CDD505-2E9C-101B-9397-08002B2CF9AE}" pid="8" name="MSIP_Label_f2dfecbd-fc97-4e8a-a9cd-19ed496c406e_ContentBits">
    <vt:lpwstr>0</vt:lpwstr>
  </property>
</Properties>
</file>