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FE41E" w14:textId="5272065E" w:rsidR="00B757D6" w:rsidRPr="00133CE4" w:rsidRDefault="00E74F0D" w:rsidP="00B757D6">
      <w:pPr>
        <w:rPr>
          <w:rFonts w:ascii="Noto Sans" w:eastAsia="Noto Sans" w:hAnsi="Noto Sans" w:cs="Times New Roman"/>
        </w:rPr>
      </w:pPr>
      <w:r w:rsidRPr="00133CE4">
        <w:rPr>
          <w:noProof/>
        </w:rPr>
        <mc:AlternateContent>
          <mc:Choice Requires="wps">
            <w:drawing>
              <wp:anchor distT="0" distB="0" distL="114300" distR="114300" simplePos="0" relativeHeight="251659264" behindDoc="0" locked="1" layoutInCell="1" allowOverlap="1" wp14:anchorId="3442982C" wp14:editId="79D4ACAB">
                <wp:simplePos x="0" y="0"/>
                <wp:positionH relativeFrom="margin">
                  <wp:posOffset>0</wp:posOffset>
                </wp:positionH>
                <wp:positionV relativeFrom="paragraph">
                  <wp:posOffset>967740</wp:posOffset>
                </wp:positionV>
                <wp:extent cx="0" cy="399415"/>
                <wp:effectExtent l="0" t="0" r="38100" b="19685"/>
                <wp:wrapNone/>
                <wp:docPr id="1001" name="Straight Connector 1"/>
                <wp:cNvGraphicFramePr/>
                <a:graphic xmlns:a="http://schemas.openxmlformats.org/drawingml/2006/main">
                  <a:graphicData uri="http://schemas.microsoft.com/office/word/2010/wordprocessingShape">
                    <wps:wsp>
                      <wps:cNvCnPr/>
                      <wps:spPr>
                        <a:xfrm>
                          <a:off x="0" y="0"/>
                          <a:ext cx="0" cy="399415"/>
                        </a:xfrm>
                        <a:prstGeom prst="line">
                          <a:avLst/>
                        </a:prstGeom>
                        <a:noFill/>
                        <a:ln w="12700">
                          <a:solidFill>
                            <a:schemeClr val="accent2"/>
                          </a:solidFill>
                          <a:headEnd type="none" w="med" len="med"/>
                          <a:tailEnd type="none" w="med" len="me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xmlns:a="http://schemas.openxmlformats.org/drawingml/2006/main">
            <w:pict>
              <v:line id="Straight Connector 1" style="position:absolute;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spid="_x0000_s1026" strokecolor="#00a2b5 [3205]" strokeweight="1pt" from="0,76.2pt" to="0,107.65pt" w14:anchorId="01FC2D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">
                <w10:wrap anchorx="margin"/>
                <w10:anchorlock/>
              </v:line>
            </w:pict>
          </mc:Fallback>
        </mc:AlternateContent>
      </w:r>
    </w:p>
    <w:tbl>
      <w:tblPr>
        <w:tblStyle w:val="TableGrid"/>
        <w:tblpPr w:leftFromText="180" w:rightFromText="180" w:vertAnchor="text" w:tblpX="2" w:tblpY="1"/>
        <w:tblOverlap w:val="never"/>
        <w:tblW w:w="10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9"/>
      </w:tblGrid>
      <w:tr w:rsidR="00B757D6" w:rsidRPr="00133CE4" w14:paraId="787780FB" w14:textId="77777777" w:rsidTr="00FA422B">
        <w:trPr>
          <w:trHeight w:hRule="exact" w:val="1081"/>
        </w:trPr>
        <w:tc>
          <w:tcPr>
            <w:tcW w:w="10029" w:type="dxa"/>
            <w:vAlign w:val="center"/>
          </w:tcPr>
          <w:p w14:paraId="3CCF5187" w14:textId="1D2EECCC" w:rsidR="00B757D6" w:rsidRPr="00133CE4" w:rsidRDefault="00000000" w:rsidP="00FA422B">
            <w:pPr>
              <w:pStyle w:val="Documenttitle"/>
              <w:framePr w:hSpace="0" w:wrap="auto" w:vAnchor="margin" w:xAlign="left" w:yAlign="inline"/>
              <w:ind w:left="-151"/>
              <w:suppressOverlap w:val="0"/>
            </w:pPr>
            <w:sdt>
              <w:sdtPr>
                <w:alias w:val="Title"/>
                <w:tag w:val=""/>
                <w:id w:val="-379861974"/>
                <w:placeholder>
                  <w:docPart w:val="1FD28209925044BC9311579808E55BD1"/>
                </w:placeholder>
                <w:dataBinding w:prefixMappings="xmlns:ns0='http://purl.org/dc/elements/1.1/' xmlns:ns1='http://schemas.openxmlformats.org/package/2006/metadata/core-properties' " w:xpath="/ns1:coreProperties[1]/ns0:title[1]" w:storeItemID="{6C3C8BC8-F283-45AE-878A-BAB7291924A1}"/>
                <w:text w:multiLine="1"/>
              </w:sdtPr>
              <w:sdtContent>
                <w:r w:rsidR="000C6F13" w:rsidRPr="00133CE4">
                  <w:t xml:space="preserve">Aberystwyth University Pension </w:t>
                </w:r>
                <w:r w:rsidR="00057239" w:rsidRPr="00133CE4">
                  <w:t>&amp;</w:t>
                </w:r>
                <w:r w:rsidR="000C6F13" w:rsidRPr="00133CE4">
                  <w:t xml:space="preserve"> Assurance Scheme (‘Scheme’)</w:t>
                </w:r>
              </w:sdtContent>
            </w:sdt>
          </w:p>
        </w:tc>
      </w:tr>
      <w:tr w:rsidR="00B757D6" w:rsidRPr="00133CE4" w14:paraId="0BB35253" w14:textId="77777777" w:rsidTr="00FA422B">
        <w:trPr>
          <w:trHeight w:val="1068"/>
        </w:trPr>
        <w:tc>
          <w:tcPr>
            <w:tcW w:w="10029" w:type="dxa"/>
          </w:tcPr>
          <w:p w14:paraId="429E833D" w14:textId="1FFB2AF0" w:rsidR="006C2672" w:rsidRPr="00133CE4" w:rsidRDefault="00CC6855" w:rsidP="006C2672">
            <w:pPr>
              <w:pStyle w:val="Documentsubtitle"/>
            </w:pPr>
            <w:r w:rsidRPr="00133CE4">
              <w:t>1 August</w:t>
            </w:r>
            <w:r w:rsidR="006C2672" w:rsidRPr="00133CE4">
              <w:t xml:space="preserve"> 2025 Implementation Statement</w:t>
            </w:r>
          </w:p>
          <w:p w14:paraId="4CDE6AC8" w14:textId="0C317804" w:rsidR="00B757D6" w:rsidRPr="00133CE4" w:rsidRDefault="00CC6855" w:rsidP="00FA422B">
            <w:pPr>
              <w:pStyle w:val="Coverdate"/>
            </w:pPr>
            <w:r w:rsidRPr="00133CE4">
              <w:t>November</w:t>
            </w:r>
            <w:r w:rsidR="00594D5F" w:rsidRPr="00133CE4">
              <w:t xml:space="preserve"> 2025</w:t>
            </w:r>
          </w:p>
        </w:tc>
      </w:tr>
    </w:tbl>
    <w:p w14:paraId="796A018E" w14:textId="77777777" w:rsidR="00B757D6" w:rsidRPr="00133CE4" w:rsidRDefault="00B757D6" w:rsidP="00B757D6">
      <w:pPr>
        <w:spacing w:after="120"/>
        <w:rPr>
          <w:rFonts w:ascii="Noto Sans" w:eastAsia="Noto Sans" w:hAnsi="Noto Sans" w:cs="Times New Roman"/>
          <w:szCs w:val="20"/>
          <w:lang w:val="fr-FR"/>
        </w:rPr>
      </w:pPr>
      <w:r w:rsidRPr="00133CE4">
        <w:rPr>
          <w:rFonts w:ascii="Noto Sans" w:eastAsia="Noto Sans" w:hAnsi="Noto Sans" w:cs="Times New Roman"/>
          <w:szCs w:val="20"/>
          <w:lang w:val="fr-FR"/>
        </w:rPr>
        <w:br w:type="textWrapping" w:clear="all"/>
      </w:r>
    </w:p>
    <w:p w14:paraId="72CAA8C2" w14:textId="77777777" w:rsidR="00B757D6" w:rsidRPr="00133CE4" w:rsidRDefault="00B757D6" w:rsidP="00B757D6">
      <w:pPr>
        <w:spacing w:after="120"/>
        <w:rPr>
          <w:rFonts w:ascii="Noto Sans" w:eastAsia="Noto Sans" w:hAnsi="Noto Sans" w:cs="Times New Roman"/>
          <w:szCs w:val="20"/>
        </w:rPr>
      </w:pPr>
    </w:p>
    <w:p w14:paraId="63B90433" w14:textId="77777777" w:rsidR="00AB167A" w:rsidRPr="00133CE4" w:rsidRDefault="00AB167A" w:rsidP="00B757D6">
      <w:pPr>
        <w:spacing w:after="120"/>
        <w:rPr>
          <w:rFonts w:ascii="Noto Sans" w:eastAsia="Noto Sans" w:hAnsi="Noto Sans" w:cs="Times New Roman"/>
          <w:szCs w:val="20"/>
        </w:rPr>
      </w:pPr>
    </w:p>
    <w:p w14:paraId="4BE2FDC1" w14:textId="77777777" w:rsidR="00AB167A" w:rsidRPr="00133CE4" w:rsidRDefault="00AB167A" w:rsidP="00B757D6">
      <w:pPr>
        <w:spacing w:after="120"/>
        <w:rPr>
          <w:rFonts w:ascii="Noto Sans" w:eastAsia="Noto Sans" w:hAnsi="Noto Sans" w:cs="Times New Roman"/>
          <w:szCs w:val="20"/>
        </w:rPr>
      </w:pPr>
    </w:p>
    <w:p w14:paraId="5E2DBE29" w14:textId="77777777" w:rsidR="00AB167A" w:rsidRPr="00133CE4" w:rsidRDefault="00AB167A" w:rsidP="00B757D6">
      <w:pPr>
        <w:spacing w:after="120"/>
        <w:rPr>
          <w:rFonts w:ascii="Noto Sans" w:eastAsia="Noto Sans" w:hAnsi="Noto Sans" w:cs="Times New Roman"/>
          <w:szCs w:val="20"/>
        </w:rPr>
      </w:pPr>
    </w:p>
    <w:p w14:paraId="1BE51E10" w14:textId="77777777" w:rsidR="00AB167A" w:rsidRPr="00133CE4" w:rsidRDefault="00AB167A" w:rsidP="00B757D6">
      <w:pPr>
        <w:spacing w:after="120"/>
        <w:rPr>
          <w:rFonts w:ascii="Noto Sans" w:eastAsia="Noto Sans" w:hAnsi="Noto Sans" w:cs="Times New Roman"/>
          <w:szCs w:val="20"/>
        </w:rPr>
      </w:pPr>
    </w:p>
    <w:p w14:paraId="3FBF0642" w14:textId="77777777" w:rsidR="00AB167A" w:rsidRPr="00133CE4" w:rsidRDefault="00AB167A" w:rsidP="00B757D6">
      <w:pPr>
        <w:spacing w:after="120"/>
        <w:rPr>
          <w:rFonts w:ascii="Noto Sans" w:eastAsia="Noto Sans" w:hAnsi="Noto Sans" w:cs="Times New Roman"/>
          <w:szCs w:val="20"/>
        </w:rPr>
      </w:pPr>
    </w:p>
    <w:p w14:paraId="1E5FDF88" w14:textId="77777777" w:rsidR="00AB167A" w:rsidRPr="00133CE4" w:rsidRDefault="00AB167A" w:rsidP="00B757D6">
      <w:pPr>
        <w:spacing w:after="120"/>
        <w:rPr>
          <w:rFonts w:ascii="Noto Sans" w:eastAsia="Noto Sans" w:hAnsi="Noto Sans" w:cs="Times New Roman"/>
          <w:szCs w:val="20"/>
        </w:rPr>
      </w:pPr>
    </w:p>
    <w:p w14:paraId="5F0F17CE" w14:textId="77777777" w:rsidR="00AB167A" w:rsidRPr="00133CE4" w:rsidRDefault="00AB167A" w:rsidP="00B757D6">
      <w:pPr>
        <w:spacing w:after="120"/>
        <w:rPr>
          <w:rFonts w:ascii="Noto Sans" w:eastAsia="Noto Sans" w:hAnsi="Noto Sans" w:cs="Times New Roman"/>
          <w:szCs w:val="20"/>
        </w:rPr>
      </w:pPr>
    </w:p>
    <w:p w14:paraId="61112AE7" w14:textId="77777777" w:rsidR="00AB167A" w:rsidRPr="00133CE4" w:rsidRDefault="00AB167A" w:rsidP="00B757D6">
      <w:pPr>
        <w:spacing w:after="120"/>
        <w:rPr>
          <w:rFonts w:ascii="Noto Sans" w:eastAsia="Noto Sans" w:hAnsi="Noto Sans" w:cs="Times New Roman"/>
          <w:szCs w:val="20"/>
        </w:rPr>
      </w:pPr>
    </w:p>
    <w:p w14:paraId="6AA7BD6D" w14:textId="77777777" w:rsidR="00AB167A" w:rsidRPr="00133CE4" w:rsidRDefault="00AB167A" w:rsidP="00B757D6">
      <w:pPr>
        <w:spacing w:after="120"/>
        <w:rPr>
          <w:rFonts w:ascii="Noto Sans" w:eastAsia="Noto Sans" w:hAnsi="Noto Sans" w:cs="Times New Roman"/>
          <w:szCs w:val="20"/>
        </w:rPr>
      </w:pPr>
    </w:p>
    <w:p w14:paraId="401AF2D0" w14:textId="77777777" w:rsidR="00AB167A" w:rsidRPr="00133CE4" w:rsidRDefault="00AB167A" w:rsidP="00B757D6">
      <w:pPr>
        <w:spacing w:after="120"/>
        <w:rPr>
          <w:rFonts w:ascii="Noto Sans" w:eastAsia="Noto Sans" w:hAnsi="Noto Sans" w:cs="Times New Roman"/>
          <w:szCs w:val="20"/>
        </w:rPr>
      </w:pPr>
    </w:p>
    <w:p w14:paraId="64E1E4D6" w14:textId="77777777" w:rsidR="00AB167A" w:rsidRPr="00133CE4" w:rsidRDefault="00AB167A" w:rsidP="00B757D6">
      <w:pPr>
        <w:spacing w:after="120"/>
        <w:rPr>
          <w:rFonts w:ascii="Noto Sans" w:eastAsia="Noto Sans" w:hAnsi="Noto Sans" w:cs="Times New Roman"/>
          <w:szCs w:val="20"/>
        </w:rPr>
      </w:pPr>
    </w:p>
    <w:p w14:paraId="4914C653" w14:textId="77777777" w:rsidR="00AB167A" w:rsidRPr="00133CE4" w:rsidRDefault="00AB167A" w:rsidP="00B757D6">
      <w:pPr>
        <w:spacing w:after="120"/>
        <w:rPr>
          <w:rFonts w:ascii="Noto Sans" w:eastAsia="Noto Sans" w:hAnsi="Noto Sans" w:cs="Times New Roman"/>
          <w:szCs w:val="20"/>
        </w:rPr>
      </w:pPr>
    </w:p>
    <w:p w14:paraId="3D093D29" w14:textId="77777777" w:rsidR="00AB167A" w:rsidRPr="00133CE4" w:rsidRDefault="00AB167A" w:rsidP="00B757D6">
      <w:pPr>
        <w:spacing w:after="120"/>
        <w:rPr>
          <w:rFonts w:ascii="Noto Sans" w:eastAsia="Noto Sans" w:hAnsi="Noto Sans" w:cs="Times New Roman"/>
          <w:szCs w:val="20"/>
        </w:rPr>
      </w:pPr>
    </w:p>
    <w:p w14:paraId="267C3406" w14:textId="77777777" w:rsidR="00AB167A" w:rsidRPr="00133CE4" w:rsidRDefault="00AB167A" w:rsidP="00B757D6">
      <w:pPr>
        <w:spacing w:after="120"/>
        <w:rPr>
          <w:rFonts w:ascii="Noto Sans" w:eastAsia="Noto Sans" w:hAnsi="Noto Sans" w:cs="Times New Roman"/>
          <w:szCs w:val="20"/>
        </w:rPr>
      </w:pPr>
    </w:p>
    <w:p w14:paraId="05E493C3" w14:textId="77777777" w:rsidR="00AB167A" w:rsidRPr="00133CE4" w:rsidRDefault="00AB167A" w:rsidP="00B757D6">
      <w:pPr>
        <w:spacing w:after="120"/>
        <w:rPr>
          <w:rFonts w:ascii="Noto Sans" w:eastAsia="Noto Sans" w:hAnsi="Noto Sans" w:cs="Times New Roman"/>
          <w:szCs w:val="20"/>
        </w:rPr>
      </w:pPr>
    </w:p>
    <w:p w14:paraId="2D05618E" w14:textId="77777777" w:rsidR="00AB167A" w:rsidRPr="00133CE4" w:rsidRDefault="00AB167A" w:rsidP="00B757D6">
      <w:pPr>
        <w:spacing w:after="120"/>
        <w:rPr>
          <w:rFonts w:ascii="Noto Sans" w:eastAsia="Noto Sans" w:hAnsi="Noto Sans" w:cs="Times New Roman"/>
          <w:szCs w:val="20"/>
        </w:rPr>
      </w:pPr>
    </w:p>
    <w:p w14:paraId="427C4387" w14:textId="77777777" w:rsidR="00AB167A" w:rsidRPr="00133CE4" w:rsidRDefault="00AB167A" w:rsidP="00B757D6">
      <w:pPr>
        <w:spacing w:after="120"/>
        <w:rPr>
          <w:rFonts w:ascii="Noto Sans" w:eastAsia="Noto Sans" w:hAnsi="Noto Sans" w:cs="Times New Roman"/>
          <w:szCs w:val="20"/>
        </w:rPr>
      </w:pPr>
    </w:p>
    <w:p w14:paraId="34375BB3" w14:textId="77777777" w:rsidR="00AB167A" w:rsidRPr="00133CE4" w:rsidRDefault="00AB167A" w:rsidP="00B757D6">
      <w:pPr>
        <w:spacing w:after="120"/>
        <w:rPr>
          <w:rFonts w:ascii="Noto Sans" w:eastAsia="Noto Sans" w:hAnsi="Noto Sans" w:cs="Times New Roman"/>
          <w:szCs w:val="20"/>
        </w:rPr>
      </w:pPr>
    </w:p>
    <w:p w14:paraId="4AC5AAB5" w14:textId="77777777" w:rsidR="00AB167A" w:rsidRPr="00133CE4" w:rsidRDefault="00AB167A" w:rsidP="00B757D6">
      <w:pPr>
        <w:spacing w:after="120"/>
        <w:rPr>
          <w:rFonts w:ascii="Noto Sans" w:eastAsia="Noto Sans" w:hAnsi="Noto Sans" w:cs="Times New Roman"/>
          <w:szCs w:val="20"/>
        </w:rPr>
      </w:pPr>
    </w:p>
    <w:p w14:paraId="1C32C2F0" w14:textId="77777777" w:rsidR="00AB167A" w:rsidRPr="00133CE4" w:rsidRDefault="00AB167A" w:rsidP="00B757D6">
      <w:pPr>
        <w:spacing w:after="120"/>
        <w:rPr>
          <w:rFonts w:ascii="Noto Sans" w:eastAsia="Noto Sans" w:hAnsi="Noto Sans" w:cs="Times New Roman"/>
          <w:szCs w:val="20"/>
        </w:rPr>
      </w:pPr>
    </w:p>
    <w:p w14:paraId="626D3B37" w14:textId="77777777" w:rsidR="00AB167A" w:rsidRPr="00133CE4" w:rsidRDefault="00AB167A" w:rsidP="00B757D6">
      <w:pPr>
        <w:spacing w:after="120"/>
        <w:rPr>
          <w:rFonts w:ascii="Noto Sans" w:eastAsia="Noto Sans" w:hAnsi="Noto Sans" w:cs="Times New Roman"/>
          <w:szCs w:val="20"/>
        </w:rPr>
      </w:pPr>
    </w:p>
    <w:p w14:paraId="13859881" w14:textId="77777777" w:rsidR="00AB167A" w:rsidRPr="00133CE4" w:rsidRDefault="00AB167A" w:rsidP="00B757D6">
      <w:pPr>
        <w:spacing w:after="120"/>
        <w:rPr>
          <w:rFonts w:ascii="Noto Sans" w:eastAsia="Noto Sans" w:hAnsi="Noto Sans" w:cs="Times New Roman"/>
          <w:szCs w:val="20"/>
        </w:rPr>
      </w:pPr>
    </w:p>
    <w:p w14:paraId="07385972" w14:textId="77777777" w:rsidR="00AB167A" w:rsidRPr="00133CE4" w:rsidRDefault="00AB167A" w:rsidP="00B757D6">
      <w:pPr>
        <w:spacing w:after="120"/>
        <w:rPr>
          <w:rFonts w:ascii="Noto Sans" w:eastAsia="Noto Sans" w:hAnsi="Noto Sans" w:cs="Times New Roman"/>
          <w:szCs w:val="20"/>
        </w:rPr>
      </w:pPr>
    </w:p>
    <w:p w14:paraId="17CC0FF5" w14:textId="77777777" w:rsidR="00AB167A" w:rsidRPr="00133CE4" w:rsidRDefault="00AB167A" w:rsidP="00B757D6">
      <w:pPr>
        <w:spacing w:after="120"/>
        <w:rPr>
          <w:rFonts w:ascii="Noto Sans" w:eastAsia="Noto Sans" w:hAnsi="Noto Sans" w:cs="Times New Roman"/>
          <w:szCs w:val="20"/>
        </w:rPr>
      </w:pPr>
    </w:p>
    <w:p w14:paraId="0A8CDD8F" w14:textId="77777777" w:rsidR="00B757D6" w:rsidRPr="00133CE4" w:rsidRDefault="00B757D6" w:rsidP="00B757D6">
      <w:pPr>
        <w:spacing w:after="120"/>
        <w:rPr>
          <w:rFonts w:ascii="Noto Sans" w:eastAsia="Noto Sans" w:hAnsi="Noto Sans" w:cs="Times New Roman"/>
          <w:szCs w:val="20"/>
        </w:rPr>
      </w:pPr>
    </w:p>
    <w:p w14:paraId="591C693A" w14:textId="0A9C5A8A" w:rsidR="00B757D6" w:rsidRPr="00133CE4" w:rsidRDefault="00B757D6" w:rsidP="00B757D6">
      <w:pPr>
        <w:spacing w:after="200" w:line="276" w:lineRule="auto"/>
        <w:rPr>
          <w:rFonts w:ascii="Noto Sans" w:eastAsia="Times New Roman" w:hAnsi="Noto Sans" w:cs="Arial"/>
          <w:sz w:val="24"/>
          <w:szCs w:val="24"/>
        </w:rPr>
      </w:pPr>
      <w:r w:rsidRPr="00133CE4">
        <w:rPr>
          <w:rFonts w:ascii="Noto Sans" w:eastAsia="Times New Roman" w:hAnsi="Noto Sans" w:cs="Arial"/>
          <w:b/>
          <w:bCs/>
          <w:sz w:val="24"/>
          <w:szCs w:val="24"/>
        </w:rPr>
        <w:br w:type="page"/>
      </w:r>
    </w:p>
    <w:p w14:paraId="0AD2D873" w14:textId="77777777" w:rsidR="00AB167A" w:rsidRPr="00133CE4" w:rsidRDefault="00AB167A" w:rsidP="00AB167A">
      <w:pPr>
        <w:pStyle w:val="Multilevellist1ToC"/>
      </w:pPr>
      <w:bookmarkStart w:id="0" w:name="_Toc72515832"/>
      <w:bookmarkStart w:id="1" w:name="_Toc190261735"/>
      <w:r w:rsidRPr="00133CE4">
        <w:lastRenderedPageBreak/>
        <w:t>Introduction</w:t>
      </w:r>
    </w:p>
    <w:p w14:paraId="55C6671A" w14:textId="3E156C44" w:rsidR="00AB167A" w:rsidRPr="00133CE4" w:rsidRDefault="00AB167A" w:rsidP="00AB167A">
      <w:pPr>
        <w:pStyle w:val="BodytextRegular"/>
      </w:pPr>
      <w:r w:rsidRPr="00133CE4">
        <w:t>The Trustee</w:t>
      </w:r>
      <w:r w:rsidR="00930B6D" w:rsidRPr="00133CE4">
        <w:t xml:space="preserve"> is</w:t>
      </w:r>
      <w:r w:rsidRPr="00133CE4">
        <w:t xml:space="preserve"> required to make publicly available online a statement (“the Implementation Statement”) covering the Aberystwyth University Pension </w:t>
      </w:r>
      <w:r w:rsidR="00057239" w:rsidRPr="00133CE4">
        <w:t>&amp;</w:t>
      </w:r>
      <w:r w:rsidRPr="00133CE4">
        <w:t xml:space="preserve"> Assurance Scheme (the ‘Scheme’) in relation to the Scheme’s Statement of Investment Principles (the “SIP”).</w:t>
      </w:r>
    </w:p>
    <w:p w14:paraId="1AC8C821" w14:textId="1AFA3937" w:rsidR="00AB167A" w:rsidRPr="00133CE4" w:rsidRDefault="00AB167A" w:rsidP="00AB167A">
      <w:pPr>
        <w:pStyle w:val="BodytextRegular"/>
      </w:pPr>
      <w:r w:rsidRPr="00133CE4">
        <w:t xml:space="preserve">The SIP was amended during the year ending </w:t>
      </w:r>
      <w:r w:rsidR="00D1718B" w:rsidRPr="00133CE4">
        <w:t>1</w:t>
      </w:r>
      <w:r w:rsidR="00D1718B" w:rsidRPr="00133CE4">
        <w:rPr>
          <w:vertAlign w:val="superscript"/>
        </w:rPr>
        <w:t xml:space="preserve"> </w:t>
      </w:r>
      <w:r w:rsidR="00D1718B" w:rsidRPr="00133CE4">
        <w:t>August</w:t>
      </w:r>
      <w:r w:rsidR="006C2672" w:rsidRPr="00133CE4">
        <w:t xml:space="preserve"> 2025</w:t>
      </w:r>
      <w:r w:rsidRPr="00133CE4">
        <w:t xml:space="preserve">, and the changes made were predominantly </w:t>
      </w:r>
      <w:r w:rsidR="00597405" w:rsidRPr="00133CE4">
        <w:t xml:space="preserve">to reflect the change in Investment Advisor from </w:t>
      </w:r>
      <w:r w:rsidR="00561F58">
        <w:t>Mercer</w:t>
      </w:r>
      <w:r w:rsidR="00597405" w:rsidRPr="00133CE4">
        <w:t xml:space="preserve"> to Schroders IM Limited, as well as the significant change in investment strategy</w:t>
      </w:r>
      <w:r w:rsidRPr="00133CE4">
        <w:t xml:space="preserve">. This SIP came into force from </w:t>
      </w:r>
      <w:r w:rsidR="00597405" w:rsidRPr="00133CE4">
        <w:t>29 October 2024</w:t>
      </w:r>
      <w:r w:rsidR="008040F0" w:rsidRPr="00133CE4">
        <w:t>.</w:t>
      </w:r>
    </w:p>
    <w:p w14:paraId="535D118B" w14:textId="77777777" w:rsidR="00594209" w:rsidRDefault="000C6F13" w:rsidP="00594209">
      <w:pPr>
        <w:pStyle w:val="BodytextRegular"/>
      </w:pPr>
      <w:r w:rsidRPr="00133CE4">
        <w:t>A copy of the current SIP</w:t>
      </w:r>
      <w:r w:rsidR="00AB167A" w:rsidRPr="00133CE4">
        <w:t xml:space="preserve"> signed and dated </w:t>
      </w:r>
      <w:r w:rsidR="00597405" w:rsidRPr="00133CE4">
        <w:t>29 October 2024</w:t>
      </w:r>
      <w:r w:rsidR="00594209" w:rsidRPr="00133CE4">
        <w:t xml:space="preserve"> is available on the following website: </w:t>
      </w:r>
    </w:p>
    <w:p w14:paraId="3476D8B7" w14:textId="77777777" w:rsidR="00594209" w:rsidRDefault="00594209" w:rsidP="00594209">
      <w:pPr>
        <w:pStyle w:val="BodytextRegular"/>
      </w:pPr>
      <w:r w:rsidRPr="000B7240">
        <w:t>https://www.aber.ac.uk/en/hr/info-staff/employment/pensions/#aberystwyth-university-pension-assurance-scheme-(aupas)-(closed-to-new-members)</w:t>
      </w:r>
    </w:p>
    <w:p w14:paraId="60D0EC97" w14:textId="1E511D95" w:rsidR="00A73328" w:rsidRPr="00133CE4" w:rsidRDefault="00A73328" w:rsidP="00A73328">
      <w:pPr>
        <w:pStyle w:val="BulletedtextRegular"/>
        <w:numPr>
          <w:ilvl w:val="0"/>
          <w:numId w:val="0"/>
        </w:numPr>
      </w:pPr>
      <w:r w:rsidRPr="00133CE4">
        <w:rPr>
          <w:rFonts w:eastAsiaTheme="minorHAnsi" w:cstheme="minorBidi"/>
          <w:szCs w:val="20"/>
          <w:lang w:eastAsia="en-US"/>
        </w:rPr>
        <w:t>This Implementation Statement covers the Scheme year from 1 August 2024 to 31 July 2025 (the “Scheme Year”), although the information on engagement and voting statistics relates to the period from 1 July 2024 to 30 June 2025. It sets out:</w:t>
      </w:r>
    </w:p>
    <w:p w14:paraId="183EC25F" w14:textId="63C39250" w:rsidR="00AB167A" w:rsidRPr="00133CE4" w:rsidRDefault="00AB167A" w:rsidP="00AB167A">
      <w:pPr>
        <w:pStyle w:val="BulletedtextRegular"/>
      </w:pPr>
      <w:r w:rsidRPr="00133CE4">
        <w:t>How the Trustee</w:t>
      </w:r>
      <w:r w:rsidR="008B3131" w:rsidRPr="00133CE4">
        <w:t>’</w:t>
      </w:r>
      <w:r w:rsidRPr="00133CE4">
        <w:t xml:space="preserve">s policies on stewardship have been followed over the Scheme Year; and </w:t>
      </w:r>
    </w:p>
    <w:p w14:paraId="3AB36D49" w14:textId="28E8AB35" w:rsidR="00AB167A" w:rsidRPr="00133CE4" w:rsidRDefault="00AB167A" w:rsidP="00AB167A">
      <w:pPr>
        <w:pStyle w:val="BulletedtextRegular"/>
      </w:pPr>
      <w:r w:rsidRPr="00133CE4">
        <w:t>The voting by or on behalf of the Trustee during the Scheme Year, including the most significant votes cast and any use of a proxy voter during the Scheme Year</w:t>
      </w:r>
    </w:p>
    <w:p w14:paraId="10745AE5" w14:textId="70168087" w:rsidR="00AB167A" w:rsidRPr="00133CE4" w:rsidRDefault="00AB167A" w:rsidP="00AB167A">
      <w:pPr>
        <w:pStyle w:val="BodytextRegular"/>
      </w:pPr>
      <w:r w:rsidRPr="00133CE4">
        <w:t>The latest guidance (“the</w:t>
      </w:r>
      <w:r w:rsidRPr="00133CE4">
        <w:rPr>
          <w:b/>
        </w:rPr>
        <w:t xml:space="preserve"> Guidance</w:t>
      </w:r>
      <w:r w:rsidRPr="00133CE4">
        <w:t>”) from the Department for Work and Pensions (</w:t>
      </w:r>
      <w:r w:rsidR="00DD0073" w:rsidRPr="00133CE4">
        <w:t>‘</w:t>
      </w:r>
      <w:r w:rsidRPr="00133CE4">
        <w:rPr>
          <w:b/>
        </w:rPr>
        <w:t>DWP</w:t>
      </w:r>
      <w:r w:rsidR="00DD0073" w:rsidRPr="00133CE4">
        <w:t>’</w:t>
      </w:r>
      <w:r w:rsidRPr="00133CE4">
        <w:t>) aims to encourage the Trustee of the Scheme to properly exercise their stewardship policy including both voting and engagement which is documented in the Scheme’s SIP. With the help of the Scheme’s Fiduciary Manager, to whom the Trustee delegated the implementation of their Stewardship policy, this Implementation Statement has been prepared to provide the details on how the Trustee</w:t>
      </w:r>
      <w:r w:rsidR="00A73328" w:rsidRPr="00133CE4">
        <w:t xml:space="preserve"> has</w:t>
      </w:r>
      <w:r w:rsidRPr="00133CE4">
        <w:t xml:space="preserve"> complied with the DWP’s statutory guidance.</w:t>
      </w:r>
    </w:p>
    <w:p w14:paraId="5ACFC0B5" w14:textId="0406A6C6" w:rsidR="00AB167A" w:rsidRPr="00133CE4" w:rsidRDefault="00AB167A" w:rsidP="00AB167A">
      <w:pPr>
        <w:pStyle w:val="BodytextRegular"/>
      </w:pPr>
      <w:r w:rsidRPr="00133CE4">
        <w:t>The Trustee use</w:t>
      </w:r>
      <w:r w:rsidR="00A73328" w:rsidRPr="00133CE4">
        <w:t>s</w:t>
      </w:r>
      <w:r w:rsidRPr="00133CE4">
        <w:t xml:space="preserve"> the Fiduciary Management service of </w:t>
      </w:r>
      <w:r w:rsidRPr="00133CE4">
        <w:rPr>
          <w:bCs/>
        </w:rPr>
        <w:t>Schroders IM Limited</w:t>
      </w:r>
      <w:r w:rsidRPr="00133CE4">
        <w:rPr>
          <w:b/>
        </w:rPr>
        <w:t xml:space="preserve"> </w:t>
      </w:r>
      <w:r w:rsidRPr="00133CE4">
        <w:t xml:space="preserve">as their Investment Manager and Adviser (referred to as the </w:t>
      </w:r>
      <w:r w:rsidR="00514173" w:rsidRPr="00133CE4">
        <w:t>‘</w:t>
      </w:r>
      <w:r w:rsidRPr="00133CE4">
        <w:rPr>
          <w:b/>
        </w:rPr>
        <w:t>Fiduciary Manager</w:t>
      </w:r>
      <w:r w:rsidR="00514173" w:rsidRPr="00133CE4">
        <w:t>’</w:t>
      </w:r>
      <w:r w:rsidRPr="00133CE4">
        <w:t xml:space="preserve"> in the Implementation Statement). The Fiduciary Manager can appoint other investment managers (referred to as </w:t>
      </w:r>
      <w:r w:rsidR="00514173" w:rsidRPr="00133CE4">
        <w:t>‘</w:t>
      </w:r>
      <w:r w:rsidRPr="00133CE4">
        <w:rPr>
          <w:b/>
          <w:bCs/>
        </w:rPr>
        <w:t>Underlying Investment Managers</w:t>
      </w:r>
      <w:r w:rsidR="00514173" w:rsidRPr="00133CE4">
        <w:t>’</w:t>
      </w:r>
      <w:r w:rsidRPr="00133CE4">
        <w:t xml:space="preserve">) to manage part of the Scheme’s assets, and investments with these managers are generally made via pooled funds, where the Scheme’s investments are pooled with those of other investors. </w:t>
      </w:r>
    </w:p>
    <w:p w14:paraId="6F20BE76" w14:textId="5CE94227" w:rsidR="00AB167A" w:rsidRDefault="00AB167A" w:rsidP="00AB167A">
      <w:pPr>
        <w:pStyle w:val="BodytextRegular"/>
      </w:pPr>
      <w:r w:rsidRPr="00133CE4">
        <w:t xml:space="preserve">A copy of this Implementation Statement is available on the following website: </w:t>
      </w:r>
    </w:p>
    <w:p w14:paraId="5CC2DB75" w14:textId="32721054" w:rsidR="000B7240" w:rsidRDefault="000B7240" w:rsidP="00AB167A">
      <w:pPr>
        <w:pStyle w:val="BodytextRegular"/>
      </w:pPr>
      <w:r w:rsidRPr="000B7240">
        <w:t>https://www.aber.ac.uk/en/hr/info-staff/employment/pensions/#aberystwyth-university-pension-assurance-scheme-(aupas)-(closed-to-new-members)</w:t>
      </w:r>
    </w:p>
    <w:p w14:paraId="48E2591C" w14:textId="77777777" w:rsidR="00E509E8" w:rsidRPr="00133CE4" w:rsidRDefault="00E509E8" w:rsidP="00AB167A">
      <w:pPr>
        <w:pStyle w:val="BodytextRegular"/>
      </w:pPr>
    </w:p>
    <w:p w14:paraId="5637A57C" w14:textId="77777777" w:rsidR="002143B6" w:rsidRPr="00133CE4" w:rsidRDefault="002143B6">
      <w:pPr>
        <w:spacing w:after="200" w:line="276" w:lineRule="auto"/>
        <w:rPr>
          <w:sz w:val="18"/>
          <w:szCs w:val="20"/>
        </w:rPr>
      </w:pPr>
      <w:r w:rsidRPr="00133CE4">
        <w:br w:type="page"/>
      </w:r>
    </w:p>
    <w:p w14:paraId="2FD46030" w14:textId="74CF13AE" w:rsidR="00AB167A" w:rsidRPr="00133CE4" w:rsidRDefault="00AB167A" w:rsidP="00AB167A">
      <w:pPr>
        <w:pStyle w:val="Multilevellist1ToC"/>
      </w:pPr>
      <w:r w:rsidRPr="00133CE4">
        <w:lastRenderedPageBreak/>
        <w:t>How the Trustee</w:t>
      </w:r>
      <w:r w:rsidR="00A73328" w:rsidRPr="00133CE4">
        <w:t>’</w:t>
      </w:r>
      <w:r w:rsidRPr="00133CE4">
        <w:t>s policies on stewardship have been followed over the Scheme Year</w:t>
      </w:r>
    </w:p>
    <w:p w14:paraId="017AD8A0" w14:textId="50B4C995" w:rsidR="00AB167A" w:rsidRPr="00133CE4" w:rsidRDefault="00AB167A" w:rsidP="00254DE8">
      <w:pPr>
        <w:pStyle w:val="BodytextRegular"/>
      </w:pPr>
      <w:r w:rsidRPr="00133CE4">
        <w:t>As described in the SIP, the Trustee</w:t>
      </w:r>
      <w:r w:rsidR="00A73328" w:rsidRPr="00133CE4">
        <w:t>’</w:t>
      </w:r>
      <w:r w:rsidRPr="00133CE4">
        <w:t>s approach to stewardship is to delegate the voting and engagement activities to the Fiduciary Manager. The Trustee take</w:t>
      </w:r>
      <w:r w:rsidR="00A73328" w:rsidRPr="00133CE4">
        <w:t>s</w:t>
      </w:r>
      <w:r w:rsidRPr="00133CE4">
        <w:t xml:space="preserve"> responsibility for regularly reviewing the approach and stewardship policies of the Fiduciary Manager to ensure they are aligned with the Trustee</w:t>
      </w:r>
      <w:r w:rsidR="00A73328" w:rsidRPr="00133CE4">
        <w:t>’</w:t>
      </w:r>
      <w:r w:rsidRPr="00133CE4">
        <w:t>s priorities and objectives. A copy of the Scheme’s SIP has been provided to the Fiduciary Manager, who is expected to follow the Trustee</w:t>
      </w:r>
      <w:r w:rsidR="00A73328" w:rsidRPr="00133CE4">
        <w:t>’</w:t>
      </w:r>
      <w:r w:rsidRPr="00133CE4">
        <w:t>s investment (including stewardship) policies when providing Fiduciary Management services.</w:t>
      </w:r>
    </w:p>
    <w:p w14:paraId="4888B8D3" w14:textId="77777777" w:rsidR="00254DE8" w:rsidRPr="00133CE4" w:rsidRDefault="000C6F13" w:rsidP="00254DE8">
      <w:pPr>
        <w:pStyle w:val="BodytextRegular"/>
        <w:rPr>
          <w:szCs w:val="18"/>
        </w:rPr>
      </w:pPr>
      <w:r w:rsidRPr="00133CE4">
        <w:rPr>
          <w:szCs w:val="18"/>
        </w:rPr>
        <w:t xml:space="preserve">The Fiduciary Manager aligns its own stewardship activities with Schroders’ Engagement Blueprint, which identifies six broad themes for their active ownership: Climate Change, Natural Capital &amp; Biodiversity, Human Rights, Corporate Governance, Human Capital Management, and Diversity &amp; Inclusion. From these, the Fiduciary Manager has chosen </w:t>
      </w:r>
      <w:r w:rsidRPr="00133CE4">
        <w:rPr>
          <w:b/>
          <w:bCs/>
          <w:szCs w:val="18"/>
        </w:rPr>
        <w:t>Climate Change</w:t>
      </w:r>
      <w:r w:rsidRPr="00133CE4">
        <w:rPr>
          <w:szCs w:val="18"/>
        </w:rPr>
        <w:t>,</w:t>
      </w:r>
      <w:r w:rsidRPr="00133CE4">
        <w:rPr>
          <w:b/>
          <w:bCs/>
          <w:szCs w:val="18"/>
        </w:rPr>
        <w:t xml:space="preserve"> Natural Capital &amp; Biodiversity</w:t>
      </w:r>
      <w:r w:rsidRPr="00133CE4">
        <w:rPr>
          <w:szCs w:val="18"/>
        </w:rPr>
        <w:t>, and</w:t>
      </w:r>
      <w:r w:rsidRPr="00133CE4">
        <w:rPr>
          <w:b/>
          <w:bCs/>
          <w:szCs w:val="18"/>
        </w:rPr>
        <w:t xml:space="preserve"> Human Rights</w:t>
      </w:r>
      <w:r w:rsidRPr="00133CE4">
        <w:rPr>
          <w:szCs w:val="18"/>
        </w:rPr>
        <w:t xml:space="preserve"> as its focus for the stewardship actions it performs on behalf of the Scheme. The Trustees expect that the Fiduciary Manager’s stewardship activities will result in better management of ESG and climate related risks and opportunities, which is expected to improve the long-term financial outcomes of the Scheme. Therefore, the Trustees have aligned their stewardship priorities with the Fiduciary Manager’s.</w:t>
      </w:r>
    </w:p>
    <w:p w14:paraId="55067B5C" w14:textId="6E60F73C" w:rsidR="00254DE8" w:rsidRPr="00133CE4" w:rsidRDefault="00AB167A" w:rsidP="00254DE8">
      <w:pPr>
        <w:pStyle w:val="BodytextRegular"/>
      </w:pPr>
      <w:r w:rsidRPr="00133CE4">
        <w:t xml:space="preserve">The Fiduciary Manager is a signatory to the </w:t>
      </w:r>
      <w:r w:rsidRPr="00133CE4">
        <w:rPr>
          <w:i/>
          <w:iCs/>
        </w:rPr>
        <w:t>UK Stewardship Code</w:t>
      </w:r>
      <w:r w:rsidRPr="00133CE4">
        <w:t xml:space="preserve"> which sets high standards for those investing money on behalf of UK pensioners and savers. The UK Stewardship Code describes stewardship as “</w:t>
      </w:r>
      <w:r w:rsidRPr="00133CE4">
        <w:rPr>
          <w:i/>
          <w:iCs/>
        </w:rPr>
        <w:t>the responsible allocation, management and oversight of capital to create long-term value … leading to sustainable benefits for the economy, the environment and society.”</w:t>
      </w:r>
      <w:r w:rsidRPr="00133CE4">
        <w:t xml:space="preserve"> Thus, the Fiduciary Manager's stewardship activities on behalf of the Trustee encompass a variety of tools, including portfolio ESG integration, manager research and selection, portfolio ESG metric monitoring and voting and engagement.</w:t>
      </w:r>
    </w:p>
    <w:p w14:paraId="6FAE54F6" w14:textId="68710031" w:rsidR="00AB167A" w:rsidRPr="00133CE4" w:rsidRDefault="00AB167A" w:rsidP="00254DE8">
      <w:pPr>
        <w:pStyle w:val="BodytextRegular"/>
        <w:rPr>
          <w:szCs w:val="18"/>
        </w:rPr>
      </w:pPr>
      <w:r w:rsidRPr="00133CE4">
        <w:t>As part of ongoing monitoring of how the Fiduciary Manager (FM) has exercised the</w:t>
      </w:r>
      <w:r w:rsidR="00254DE8" w:rsidRPr="00133CE4">
        <w:t xml:space="preserve"> </w:t>
      </w:r>
      <w:r w:rsidRPr="00133CE4">
        <w:t>Trustee</w:t>
      </w:r>
      <w:r w:rsidR="000815E4" w:rsidRPr="00133CE4">
        <w:t>’</w:t>
      </w:r>
      <w:r w:rsidRPr="00133CE4">
        <w:t xml:space="preserve">s stewardship policy, the Trustee reviewed quarterly FM ESG updates and the FM Annual ESG Report during the Scheme Year. </w:t>
      </w:r>
      <w:r w:rsidRPr="00133CE4">
        <w:rPr>
          <w:rFonts w:cs="Noto Sans"/>
          <w:color w:val="000000" w:themeColor="text1"/>
          <w:szCs w:val="19"/>
        </w:rPr>
        <w:t xml:space="preserve">The quarterly ESG updates allow the </w:t>
      </w:r>
      <w:r w:rsidRPr="00133CE4">
        <w:t xml:space="preserve">Trustee </w:t>
      </w:r>
      <w:r w:rsidRPr="00133CE4">
        <w:rPr>
          <w:rFonts w:cs="Noto Sans"/>
          <w:color w:val="000000" w:themeColor="text1"/>
          <w:szCs w:val="19"/>
        </w:rPr>
        <w:t>to monitor the ESG characteristics of the Scheme’s portfolio and thereby assess the Fiduciary Manager’s allocation, management and oversight of the Scheme’s capital.</w:t>
      </w:r>
      <w:r w:rsidR="002E399F" w:rsidRPr="00133CE4">
        <w:rPr>
          <w:rFonts w:cs="Noto Sans"/>
          <w:color w:val="000000" w:themeColor="text1"/>
          <w:szCs w:val="19"/>
        </w:rPr>
        <w:t xml:space="preserve"> In addition, the quarterly report also </w:t>
      </w:r>
      <w:r w:rsidR="00D2569A" w:rsidRPr="00133CE4">
        <w:rPr>
          <w:rFonts w:cs="Noto Sans"/>
          <w:color w:val="000000" w:themeColor="text1"/>
          <w:szCs w:val="19"/>
        </w:rPr>
        <w:t>details</w:t>
      </w:r>
      <w:r w:rsidR="002E399F" w:rsidRPr="00133CE4">
        <w:rPr>
          <w:rFonts w:cs="Noto Sans"/>
          <w:color w:val="000000" w:themeColor="text1"/>
          <w:szCs w:val="19"/>
        </w:rPr>
        <w:t xml:space="preserve"> stewardship activities including both voting and engagement the Fiduciary Manager carried out on behalf of the </w:t>
      </w:r>
      <w:r w:rsidR="002E399F" w:rsidRPr="00133CE4">
        <w:t>Trustee.</w:t>
      </w:r>
      <w:r w:rsidRPr="00133CE4">
        <w:rPr>
          <w:rFonts w:cs="Noto Sans"/>
          <w:color w:val="000000" w:themeColor="text1"/>
          <w:szCs w:val="19"/>
        </w:rPr>
        <w:t xml:space="preserve"> </w:t>
      </w:r>
      <w:r w:rsidRPr="00133CE4">
        <w:t>The FM Annual ESG Report details various areas concerning the Fiduciary Manager’s ESG integration within the investments and stewardship activities over the previous calendar year.</w:t>
      </w:r>
    </w:p>
    <w:p w14:paraId="0DFE4600" w14:textId="65E39FA9" w:rsidR="00C454C2" w:rsidRPr="00133CE4" w:rsidRDefault="00AB167A" w:rsidP="00254DE8">
      <w:pPr>
        <w:pStyle w:val="BodytextRegular"/>
      </w:pPr>
      <w:r w:rsidRPr="00133CE4">
        <w:t>The Trustee</w:t>
      </w:r>
      <w:r w:rsidR="000815E4" w:rsidRPr="00133CE4">
        <w:t xml:space="preserve"> is</w:t>
      </w:r>
      <w:r w:rsidRPr="00133CE4">
        <w:t xml:space="preserve"> satisfied</w:t>
      </w:r>
      <w:r w:rsidRPr="00133CE4">
        <w:rPr>
          <w:color w:val="FF0000"/>
        </w:rPr>
        <w:t xml:space="preserve"> </w:t>
      </w:r>
      <w:r w:rsidRPr="00133CE4">
        <w:t xml:space="preserve">that the </w:t>
      </w:r>
      <w:r w:rsidR="002E399F" w:rsidRPr="00133CE4">
        <w:t xml:space="preserve">stewardship policy </w:t>
      </w:r>
      <w:r w:rsidRPr="00133CE4">
        <w:t xml:space="preserve">outlined in the SIP </w:t>
      </w:r>
      <w:r w:rsidR="002E399F" w:rsidRPr="00133CE4">
        <w:t xml:space="preserve">has </w:t>
      </w:r>
      <w:r w:rsidRPr="00133CE4">
        <w:t xml:space="preserve">been </w:t>
      </w:r>
      <w:r w:rsidR="002E399F" w:rsidRPr="00133CE4">
        <w:t>implemented well over the year</w:t>
      </w:r>
      <w:r w:rsidRPr="00133CE4">
        <w:t>, with the Fiduciary Manager taking the Trustee</w:t>
      </w:r>
      <w:r w:rsidR="000815E4" w:rsidRPr="00133CE4">
        <w:t>’</w:t>
      </w:r>
      <w:r w:rsidRPr="00133CE4">
        <w:t xml:space="preserve">s stewardship policy and priorities into account as part of its stewardship activities and manager selection over the Scheme Year. Examples of how this has been evidenced include: </w:t>
      </w:r>
    </w:p>
    <w:p w14:paraId="480E17B3" w14:textId="1E83C548" w:rsidR="00324A89" w:rsidRPr="00133CE4" w:rsidRDefault="00E576F2" w:rsidP="00324A89">
      <w:pPr>
        <w:pStyle w:val="BodytextRegular"/>
        <w:numPr>
          <w:ilvl w:val="0"/>
          <w:numId w:val="19"/>
        </w:numPr>
        <w:rPr>
          <w:rFonts w:cs="Noto Sans"/>
          <w:i/>
          <w:iCs/>
          <w:szCs w:val="19"/>
        </w:rPr>
      </w:pPr>
      <w:r w:rsidRPr="00133CE4">
        <w:rPr>
          <w:rFonts w:cs="Noto Sans"/>
          <w:szCs w:val="19"/>
        </w:rPr>
        <w:t>The Fiduciary Manager continue</w:t>
      </w:r>
      <w:r w:rsidR="00FB62A3" w:rsidRPr="00133CE4">
        <w:rPr>
          <w:rFonts w:cs="Noto Sans"/>
          <w:szCs w:val="19"/>
        </w:rPr>
        <w:t>s</w:t>
      </w:r>
      <w:r w:rsidRPr="00133CE4">
        <w:rPr>
          <w:rFonts w:cs="Noto Sans"/>
          <w:szCs w:val="19"/>
        </w:rPr>
        <w:t xml:space="preserve"> to integrate ESG and climate factors via MSCI and </w:t>
      </w:r>
      <w:proofErr w:type="spellStart"/>
      <w:r w:rsidRPr="00133CE4">
        <w:rPr>
          <w:rFonts w:cs="Noto Sans"/>
          <w:szCs w:val="19"/>
        </w:rPr>
        <w:t>SustainEx</w:t>
      </w:r>
      <w:proofErr w:type="spellEnd"/>
      <w:r w:rsidRPr="00133CE4">
        <w:rPr>
          <w:rFonts w:cs="Noto Sans"/>
          <w:szCs w:val="19"/>
        </w:rPr>
        <w:t xml:space="preserve"> scores and apply exclusions to its internally managed equity fund (Global Diversified Equity Fund)</w:t>
      </w:r>
      <w:r w:rsidRPr="00133CE4">
        <w:t xml:space="preserve"> </w:t>
      </w:r>
      <w:r w:rsidRPr="00133CE4">
        <w:rPr>
          <w:rFonts w:cs="Noto Sans"/>
          <w:szCs w:val="19"/>
        </w:rPr>
        <w:t xml:space="preserve">during the security selection process which includes both Schroders Group criteria including </w:t>
      </w:r>
      <w:r w:rsidRPr="00133CE4">
        <w:t>UNGC Global Norms Violators, controversial weapons and thermal coal as well as additional exclusions such as Tobacco</w:t>
      </w:r>
      <w:r w:rsidR="008F63B4" w:rsidRPr="00133CE4">
        <w:t xml:space="preserve"> and </w:t>
      </w:r>
      <w:r w:rsidRPr="00133CE4">
        <w:t xml:space="preserve">Gambling </w:t>
      </w:r>
      <w:r w:rsidR="002532F4" w:rsidRPr="00133CE4">
        <w:t xml:space="preserve">etc </w:t>
      </w:r>
      <w:r w:rsidRPr="00133CE4">
        <w:t>such that this internally managed equity fund has greater sustainab</w:t>
      </w:r>
      <w:r w:rsidR="00FB62A3" w:rsidRPr="00133CE4">
        <w:t>ility</w:t>
      </w:r>
      <w:r w:rsidRPr="00133CE4">
        <w:t xml:space="preserve"> characteristics. </w:t>
      </w:r>
      <w:r w:rsidRPr="00133CE4">
        <w:rPr>
          <w:rFonts w:cs="Noto Sans"/>
          <w:szCs w:val="19"/>
        </w:rPr>
        <w:t>This ensures a closer alignment of the Scheme’s investments with the Trustee</w:t>
      </w:r>
      <w:r w:rsidR="000815E4" w:rsidRPr="00133CE4">
        <w:rPr>
          <w:rFonts w:cs="Noto Sans"/>
          <w:szCs w:val="19"/>
        </w:rPr>
        <w:t>’</w:t>
      </w:r>
      <w:r w:rsidRPr="00133CE4">
        <w:rPr>
          <w:rFonts w:cs="Noto Sans"/>
          <w:szCs w:val="19"/>
        </w:rPr>
        <w:t xml:space="preserve">s stewardship priorities, as these excluded investments are generally viewed as causing significant harm to </w:t>
      </w:r>
      <w:r w:rsidR="00FB62A3" w:rsidRPr="00133CE4">
        <w:rPr>
          <w:rFonts w:cs="Noto Sans"/>
          <w:szCs w:val="19"/>
        </w:rPr>
        <w:t xml:space="preserve">the </w:t>
      </w:r>
      <w:r w:rsidR="008F63B4" w:rsidRPr="00133CE4">
        <w:t>environment and society.</w:t>
      </w:r>
    </w:p>
    <w:p w14:paraId="4C4852E0" w14:textId="403417A0" w:rsidR="003C0CD2" w:rsidRPr="00133CE4" w:rsidRDefault="003C0CD2" w:rsidP="00324A89">
      <w:pPr>
        <w:pStyle w:val="BodytextRegular"/>
        <w:numPr>
          <w:ilvl w:val="0"/>
          <w:numId w:val="19"/>
        </w:numPr>
        <w:rPr>
          <w:rFonts w:cs="Noto Sans"/>
          <w:i/>
          <w:iCs/>
          <w:szCs w:val="19"/>
        </w:rPr>
      </w:pPr>
      <w:r w:rsidRPr="00133CE4">
        <w:t xml:space="preserve">ESG integration throughout the portfolio, with Underlying Investment Manager and counterparty engagement carried out in </w:t>
      </w:r>
      <w:r w:rsidR="00324A89" w:rsidRPr="00133CE4">
        <w:t xml:space="preserve">the Scheme’s </w:t>
      </w:r>
      <w:r w:rsidRPr="00133CE4">
        <w:t>Growth</w:t>
      </w:r>
      <w:r w:rsidR="00324A89" w:rsidRPr="00133CE4">
        <w:t>, Cashflow Matching Credit</w:t>
      </w:r>
      <w:r w:rsidR="00324A89" w:rsidRPr="00133CE4">
        <w:rPr>
          <w:rFonts w:ascii="Aptos Narrow" w:eastAsia="Times New Roman" w:hAnsi="Aptos Narrow" w:cs="Times New Roman"/>
          <w:b/>
          <w:bCs/>
          <w:color w:val="000000"/>
          <w:sz w:val="22"/>
          <w:lang w:eastAsia="zh-CN"/>
        </w:rPr>
        <w:t xml:space="preserve"> </w:t>
      </w:r>
      <w:r w:rsidRPr="00133CE4">
        <w:t xml:space="preserve">and LDI portfolios. </w:t>
      </w:r>
    </w:p>
    <w:p w14:paraId="54ECFEBF" w14:textId="0A5A744F" w:rsidR="003C1F29" w:rsidRPr="00133CE4" w:rsidRDefault="003C1F29" w:rsidP="00254DE8">
      <w:pPr>
        <w:pStyle w:val="BodytextRegular"/>
        <w:numPr>
          <w:ilvl w:val="0"/>
          <w:numId w:val="19"/>
        </w:numPr>
        <w:rPr>
          <w:rFonts w:cs="Noto Sans"/>
          <w:i/>
          <w:iCs/>
          <w:szCs w:val="19"/>
        </w:rPr>
      </w:pPr>
      <w:r w:rsidRPr="00133CE4">
        <w:t xml:space="preserve">Manager research identified </w:t>
      </w:r>
      <w:r w:rsidR="00E53409" w:rsidRPr="00133CE4">
        <w:t xml:space="preserve">a </w:t>
      </w:r>
      <w:r w:rsidRPr="00133CE4">
        <w:t xml:space="preserve">hedge fund </w:t>
      </w:r>
      <w:r w:rsidR="00C87D46" w:rsidRPr="00133CE4">
        <w:t>with</w:t>
      </w:r>
      <w:r w:rsidR="00E53409" w:rsidRPr="00133CE4">
        <w:t xml:space="preserve"> sustainability</w:t>
      </w:r>
      <w:r w:rsidR="00C87D46" w:rsidRPr="00133CE4">
        <w:t xml:space="preserve"> objectives</w:t>
      </w:r>
      <w:r w:rsidR="00E53409" w:rsidRPr="00133CE4">
        <w:t xml:space="preserve"> </w:t>
      </w:r>
      <w:r w:rsidRPr="00133CE4">
        <w:t xml:space="preserve">which </w:t>
      </w:r>
      <w:r w:rsidR="00357B1B" w:rsidRPr="00133CE4">
        <w:t>has</w:t>
      </w:r>
      <w:r w:rsidRPr="00133CE4">
        <w:t xml:space="preserve"> been included in the</w:t>
      </w:r>
      <w:r w:rsidR="00495E9C" w:rsidRPr="00133CE4">
        <w:t xml:space="preserve"> liquid</w:t>
      </w:r>
      <w:r w:rsidRPr="00133CE4">
        <w:t xml:space="preserve"> alternatives portfolio</w:t>
      </w:r>
      <w:r w:rsidRPr="00133CE4">
        <w:rPr>
          <w:rFonts w:cs="Noto Sans"/>
          <w:i/>
          <w:iCs/>
          <w:szCs w:val="19"/>
        </w:rPr>
        <w:t xml:space="preserve">. </w:t>
      </w:r>
      <w:r w:rsidR="00357B1B" w:rsidRPr="00133CE4">
        <w:rPr>
          <w:rFonts w:cs="Noto Sans"/>
          <w:szCs w:val="19"/>
        </w:rPr>
        <w:t>This fund goes beyond</w:t>
      </w:r>
      <w:r w:rsidRPr="00133CE4">
        <w:rPr>
          <w:rFonts w:cs="Noto Sans"/>
          <w:szCs w:val="19"/>
        </w:rPr>
        <w:t xml:space="preserve"> simply considering sustainability risks and actively promote</w:t>
      </w:r>
      <w:r w:rsidR="00357B1B" w:rsidRPr="00133CE4">
        <w:rPr>
          <w:rFonts w:cs="Noto Sans"/>
          <w:szCs w:val="19"/>
        </w:rPr>
        <w:t>s</w:t>
      </w:r>
      <w:r w:rsidRPr="00133CE4">
        <w:rPr>
          <w:rFonts w:cs="Noto Sans"/>
          <w:szCs w:val="19"/>
        </w:rPr>
        <w:t xml:space="preserve"> environmental and social objectives.</w:t>
      </w:r>
    </w:p>
    <w:p w14:paraId="22F5D9FA" w14:textId="22636D87" w:rsidR="00F86237" w:rsidRPr="00133CE4" w:rsidRDefault="00F86237" w:rsidP="00254DE8">
      <w:pPr>
        <w:pStyle w:val="BodytextRegular"/>
        <w:numPr>
          <w:ilvl w:val="0"/>
          <w:numId w:val="19"/>
        </w:numPr>
        <w:rPr>
          <w:rFonts w:cs="Noto Sans"/>
          <w:i/>
          <w:iCs/>
          <w:szCs w:val="19"/>
        </w:rPr>
      </w:pPr>
      <w:r w:rsidRPr="00133CE4">
        <w:t xml:space="preserve">Working with </w:t>
      </w:r>
      <w:r w:rsidR="00B07921" w:rsidRPr="00133CE4">
        <w:t>the</w:t>
      </w:r>
      <w:r w:rsidRPr="00133CE4">
        <w:t xml:space="preserve"> core active credit manager to enhance their mandate to have a specific climate transition focus. This involve</w:t>
      </w:r>
      <w:r w:rsidR="00324A89" w:rsidRPr="00133CE4">
        <w:t>d</w:t>
      </w:r>
      <w:r w:rsidRPr="00133CE4">
        <w:t xml:space="preserve"> the introduction of a net zero target at the strategy level</w:t>
      </w:r>
      <w:r w:rsidR="003C1F29" w:rsidRPr="00133CE4">
        <w:t xml:space="preserve">. </w:t>
      </w:r>
    </w:p>
    <w:p w14:paraId="4D6D2E61" w14:textId="49DB241D" w:rsidR="00296521" w:rsidRPr="00133CE4" w:rsidRDefault="00296521" w:rsidP="00254DE8">
      <w:pPr>
        <w:pStyle w:val="BodytextRegular"/>
        <w:numPr>
          <w:ilvl w:val="0"/>
          <w:numId w:val="19"/>
        </w:numPr>
        <w:rPr>
          <w:rFonts w:cs="Noto Sans"/>
          <w:i/>
          <w:iCs/>
          <w:szCs w:val="19"/>
        </w:rPr>
      </w:pPr>
      <w:r w:rsidRPr="00133CE4">
        <w:t>Annual assessment of Underlying Investment Managers’ ESG ratings against a comprehensive internal ESG assessment framework. Lower-rated managers are categorised as either Red-Engagement or Red-Exclusion, requiring further engagement to improve their rating, or exclusion on the grounds of poor ESG credentials.</w:t>
      </w:r>
      <w:r w:rsidR="007509CC" w:rsidRPr="00133CE4">
        <w:t xml:space="preserve"> The ESG ratings were also used to identify the areas of engagement with Underlying Investment Managers across the engagement priorities. </w:t>
      </w:r>
    </w:p>
    <w:p w14:paraId="7099201E" w14:textId="084B2DA3" w:rsidR="00296521" w:rsidRPr="00133CE4" w:rsidRDefault="00324A89" w:rsidP="00254DE8">
      <w:pPr>
        <w:pStyle w:val="BodytextRegular"/>
        <w:numPr>
          <w:ilvl w:val="0"/>
          <w:numId w:val="19"/>
        </w:numPr>
      </w:pPr>
      <w:r w:rsidRPr="00133CE4">
        <w:lastRenderedPageBreak/>
        <w:t>Regular</w:t>
      </w:r>
      <w:r w:rsidR="00296521" w:rsidRPr="00133CE4">
        <w:t xml:space="preserve"> investment and operational due diligence on the Underlying Investment Managers to monitor voting and engagement policies concerning the Scheme’s investments.</w:t>
      </w:r>
    </w:p>
    <w:p w14:paraId="671F2739" w14:textId="2011D064" w:rsidR="007509CC" w:rsidRPr="00133CE4" w:rsidRDefault="00C87D46" w:rsidP="00254DE8">
      <w:pPr>
        <w:pStyle w:val="BodytextRegular"/>
        <w:numPr>
          <w:ilvl w:val="0"/>
          <w:numId w:val="19"/>
        </w:numPr>
      </w:pPr>
      <w:r w:rsidRPr="00133CE4">
        <w:t xml:space="preserve">In addition to regular reporting, </w:t>
      </w:r>
      <w:r w:rsidR="00C8150D" w:rsidRPr="00133CE4">
        <w:t>the Fiduciary Manager</w:t>
      </w:r>
      <w:r w:rsidRPr="00133CE4">
        <w:t xml:space="preserve"> </w:t>
      </w:r>
      <w:r w:rsidR="00D2569A" w:rsidRPr="00133CE4">
        <w:t>has</w:t>
      </w:r>
      <w:r w:rsidRPr="00133CE4">
        <w:t xml:space="preserve"> developed </w:t>
      </w:r>
      <w:r w:rsidR="00D2569A" w:rsidRPr="00133CE4">
        <w:t>its</w:t>
      </w:r>
      <w:r w:rsidRPr="00133CE4">
        <w:t xml:space="preserve"> ESG reporting to </w:t>
      </w:r>
      <w:r w:rsidR="00D2569A" w:rsidRPr="00133CE4">
        <w:t>provide</w:t>
      </w:r>
      <w:r w:rsidR="003C0CD2" w:rsidRPr="00133CE4">
        <w:t xml:space="preserve"> voting</w:t>
      </w:r>
      <w:r w:rsidR="00296521" w:rsidRPr="00133CE4">
        <w:t xml:space="preserve"> and engagement examples to the Trustee, facilitating a more regular review throughout the year of the</w:t>
      </w:r>
      <w:r w:rsidR="007509CC" w:rsidRPr="00133CE4">
        <w:t xml:space="preserve"> Fiduciary Manager and</w:t>
      </w:r>
      <w:r w:rsidR="00296521" w:rsidRPr="00133CE4">
        <w:t xml:space="preserve"> Underlying Investment Managers’ stewardship </w:t>
      </w:r>
      <w:r w:rsidR="00296521" w:rsidRPr="00133CE4">
        <w:rPr>
          <w:color w:val="000000" w:themeColor="text1"/>
        </w:rPr>
        <w:t xml:space="preserve">activities. </w:t>
      </w:r>
      <w:r w:rsidR="007509CC" w:rsidRPr="00133CE4">
        <w:rPr>
          <w:color w:val="000000" w:themeColor="text1"/>
        </w:rPr>
        <w:t xml:space="preserve">In addition, the quarterly ESG reporting also includes “spotlight” pages to provide </w:t>
      </w:r>
      <w:r w:rsidR="007509CC" w:rsidRPr="00133CE4">
        <w:t xml:space="preserve">Trustee with ESG related hot topics and educational material such as ESG integration </w:t>
      </w:r>
      <w:r w:rsidR="00D2569A" w:rsidRPr="00133CE4">
        <w:t>for particular</w:t>
      </w:r>
      <w:r w:rsidR="007509CC" w:rsidRPr="00133CE4">
        <w:t xml:space="preserve"> asset classes. </w:t>
      </w:r>
    </w:p>
    <w:p w14:paraId="21F7E8B7" w14:textId="77777777" w:rsidR="00DE22FE" w:rsidRPr="00133CE4" w:rsidRDefault="00DE22FE" w:rsidP="00254DE8">
      <w:pPr>
        <w:pStyle w:val="BodytextRegular"/>
        <w:numPr>
          <w:ilvl w:val="0"/>
          <w:numId w:val="19"/>
        </w:numPr>
      </w:pPr>
      <w:r w:rsidRPr="00133CE4">
        <w:t>Development of biodiversity metric NatCapEx to be used as an engagement tool and to provide a greater understanding of exposure to nature related risks.</w:t>
      </w:r>
    </w:p>
    <w:p w14:paraId="3EA76DCD" w14:textId="1761EB41" w:rsidR="00296521" w:rsidRPr="00133CE4" w:rsidRDefault="00296521" w:rsidP="006C2672">
      <w:pPr>
        <w:pStyle w:val="BodytextRegular"/>
      </w:pPr>
      <w:r w:rsidRPr="00133CE4">
        <w:t>Considering the voting statistics and behaviour set out in this Implementation Statement, along with the engagement activity that took place on the Trustee</w:t>
      </w:r>
      <w:r w:rsidR="00443936" w:rsidRPr="00133CE4">
        <w:t>’</w:t>
      </w:r>
      <w:r w:rsidRPr="00133CE4">
        <w:t>s behalf during the Scheme Year within the growth</w:t>
      </w:r>
      <w:r w:rsidR="00324A89" w:rsidRPr="00133CE4">
        <w:t>, Cashflow Matching Credit</w:t>
      </w:r>
      <w:r w:rsidR="00443936" w:rsidRPr="00133CE4">
        <w:t xml:space="preserve"> </w:t>
      </w:r>
      <w:r w:rsidRPr="00133CE4">
        <w:t>and</w:t>
      </w:r>
      <w:r w:rsidRPr="00133CE4">
        <w:rPr>
          <w:color w:val="FF0000"/>
        </w:rPr>
        <w:t xml:space="preserve"> </w:t>
      </w:r>
      <w:r w:rsidR="00324A89" w:rsidRPr="00133CE4">
        <w:t>LDI</w:t>
      </w:r>
      <w:r w:rsidRPr="00133CE4">
        <w:t xml:space="preserve"> portfolio</w:t>
      </w:r>
      <w:r w:rsidR="00324A89" w:rsidRPr="00133CE4">
        <w:t>s</w:t>
      </w:r>
      <w:r w:rsidRPr="00133CE4">
        <w:t>, the Trustee</w:t>
      </w:r>
      <w:r w:rsidR="00443936" w:rsidRPr="00133CE4">
        <w:t xml:space="preserve"> is</w:t>
      </w:r>
      <w:r w:rsidRPr="00133CE4">
        <w:t xml:space="preserve"> pleased to report that the Fiduciary Manager and the Underlying Investment Managers have demonstrated high levels of voting and engagement in line with their stewardship policy. </w:t>
      </w:r>
    </w:p>
    <w:p w14:paraId="382C2997" w14:textId="228AEA04" w:rsidR="00296521" w:rsidRPr="00133CE4" w:rsidRDefault="00296521" w:rsidP="00254DE8">
      <w:pPr>
        <w:pStyle w:val="BodytextRegular"/>
      </w:pPr>
      <w:r w:rsidRPr="00133CE4">
        <w:t>Specifically, the Trustee noted that:</w:t>
      </w:r>
    </w:p>
    <w:p w14:paraId="114450B6" w14:textId="77777777" w:rsidR="00296521" w:rsidRPr="00133CE4" w:rsidRDefault="00296521" w:rsidP="00254DE8">
      <w:pPr>
        <w:pStyle w:val="BodytextRegular"/>
        <w:numPr>
          <w:ilvl w:val="0"/>
          <w:numId w:val="20"/>
        </w:numPr>
      </w:pPr>
      <w:r w:rsidRPr="00133CE4">
        <w:t>Each manager demonstrated high levels of voting rights being acted on, where voting is relevant</w:t>
      </w:r>
      <w:r w:rsidR="002C5208" w:rsidRPr="00133CE4">
        <w:t>.</w:t>
      </w:r>
    </w:p>
    <w:p w14:paraId="04D91B34" w14:textId="77777777" w:rsidR="00296521" w:rsidRPr="00133CE4" w:rsidRDefault="00296521" w:rsidP="00254DE8">
      <w:pPr>
        <w:pStyle w:val="BodytextRegular"/>
        <w:numPr>
          <w:ilvl w:val="0"/>
          <w:numId w:val="20"/>
        </w:numPr>
      </w:pPr>
      <w:r w:rsidRPr="00133CE4">
        <w:t>Where the holdings did not have voting rights attached, the Underlying Investment Managers showed they carried out a good level of engagement activity with the underlying companies over the Scheme Year</w:t>
      </w:r>
      <w:r w:rsidR="002C5208" w:rsidRPr="00133CE4">
        <w:t>.</w:t>
      </w:r>
    </w:p>
    <w:p w14:paraId="102D3940" w14:textId="77777777" w:rsidR="00254DE8" w:rsidRPr="00133CE4" w:rsidRDefault="00296521" w:rsidP="00254DE8">
      <w:pPr>
        <w:pStyle w:val="BodytextRegular"/>
        <w:numPr>
          <w:ilvl w:val="0"/>
          <w:numId w:val="20"/>
        </w:numPr>
      </w:pPr>
      <w:r w:rsidRPr="00133CE4">
        <w:t>Challenge to management was demonstrated through votes by the Underlying Investment Managers against management</w:t>
      </w:r>
      <w:r w:rsidR="002C5208" w:rsidRPr="00133CE4">
        <w:t>.</w:t>
      </w:r>
    </w:p>
    <w:p w14:paraId="213C2862" w14:textId="53F0B8A6" w:rsidR="00254DE8" w:rsidRPr="00133CE4" w:rsidRDefault="00296521" w:rsidP="00254DE8">
      <w:pPr>
        <w:pStyle w:val="BodytextRegular"/>
        <w:numPr>
          <w:ilvl w:val="0"/>
          <w:numId w:val="20"/>
        </w:numPr>
      </w:pPr>
      <w:r w:rsidRPr="00133CE4">
        <w:t>The Fiduciary Manager has carried out a high level of engagement activities with the Underlying Investment Managers, focussing on laggards and material allocation</w:t>
      </w:r>
      <w:r w:rsidR="002C5208" w:rsidRPr="00133CE4">
        <w:t>s</w:t>
      </w:r>
      <w:r w:rsidR="008F63B4" w:rsidRPr="00133CE4">
        <w:t xml:space="preserve"> across three different engagement priorities</w:t>
      </w:r>
      <w:r w:rsidR="002C5208" w:rsidRPr="00133CE4">
        <w:t>.</w:t>
      </w:r>
    </w:p>
    <w:p w14:paraId="0D3ECB39" w14:textId="2D68E767" w:rsidR="00DD0073" w:rsidRPr="00133CE4" w:rsidRDefault="00296521" w:rsidP="00254DE8">
      <w:pPr>
        <w:pStyle w:val="BodytextRegular"/>
        <w:numPr>
          <w:ilvl w:val="0"/>
          <w:numId w:val="20"/>
        </w:numPr>
      </w:pPr>
      <w:r w:rsidRPr="00133CE4">
        <w:t>The Fiduciary Manager has also carried out a high level of engagement with different governing bodies for the Liability Hedging mandate to ensure that the Scheme’s liability hedging programme</w:t>
      </w:r>
      <w:r w:rsidR="009B10FF" w:rsidRPr="00133CE4">
        <w:t xml:space="preserve"> remains </w:t>
      </w:r>
      <w:r w:rsidRPr="00133CE4">
        <w:t xml:space="preserve">robust </w:t>
      </w:r>
      <w:r w:rsidR="009B10FF" w:rsidRPr="00133CE4">
        <w:t xml:space="preserve">following the events </w:t>
      </w:r>
      <w:r w:rsidR="00EE0306" w:rsidRPr="00133CE4">
        <w:t>of</w:t>
      </w:r>
      <w:r w:rsidR="009B10FF" w:rsidRPr="00133CE4">
        <w:t xml:space="preserve"> </w:t>
      </w:r>
      <w:r w:rsidRPr="00133CE4">
        <w:t>the Gilt Crisis of Autumn 2022</w:t>
      </w:r>
      <w:r w:rsidR="009B10FF" w:rsidRPr="00133CE4">
        <w:t>. Moreover, the Fiduciary</w:t>
      </w:r>
      <w:r w:rsidRPr="00133CE4">
        <w:t xml:space="preserve"> Manager provided inputs to those governing bodies to ensure they continue to deliver even better outcomes for their clients, including the Scheme.</w:t>
      </w:r>
    </w:p>
    <w:p w14:paraId="5084E1BC" w14:textId="2FC7081A" w:rsidR="00C87D46" w:rsidRPr="00133CE4" w:rsidRDefault="00296521" w:rsidP="002C5208">
      <w:pPr>
        <w:pStyle w:val="BodytextBold"/>
      </w:pPr>
      <w:r w:rsidRPr="00133CE4">
        <w:t>Given the activities carried out during the Scheme Year and by preparing this Implementation Statement, the Trustee believe</w:t>
      </w:r>
      <w:r w:rsidR="00443936" w:rsidRPr="00133CE4">
        <w:t>s</w:t>
      </w:r>
      <w:r w:rsidRPr="00133CE4">
        <w:t xml:space="preserve"> that they have acted in accordance with the DWP Guidance over the Scheme Year.</w:t>
      </w:r>
    </w:p>
    <w:p w14:paraId="6AB5DB53" w14:textId="77777777" w:rsidR="00C87D46" w:rsidRPr="00133CE4" w:rsidRDefault="00C87D46">
      <w:pPr>
        <w:spacing w:after="200" w:line="276" w:lineRule="auto"/>
        <w:rPr>
          <w:b/>
          <w:sz w:val="18"/>
          <w:szCs w:val="20"/>
        </w:rPr>
      </w:pPr>
      <w:r w:rsidRPr="00133CE4">
        <w:br w:type="page"/>
      </w:r>
    </w:p>
    <w:p w14:paraId="65B614C2" w14:textId="77777777" w:rsidR="002143B6" w:rsidRPr="00133CE4" w:rsidRDefault="002143B6" w:rsidP="002C5208">
      <w:pPr>
        <w:pStyle w:val="BodytextBold"/>
      </w:pPr>
    </w:p>
    <w:p w14:paraId="14D4DC64" w14:textId="77777777" w:rsidR="005D3482" w:rsidRPr="00133CE4" w:rsidRDefault="005D3482" w:rsidP="005D3482">
      <w:pPr>
        <w:pStyle w:val="Multilevellist1ToC"/>
      </w:pPr>
      <w:r w:rsidRPr="00133CE4">
        <w:t>Voting During the Scheme Year</w:t>
      </w:r>
    </w:p>
    <w:p w14:paraId="45179BCE" w14:textId="1E72CB66" w:rsidR="005D3482" w:rsidRPr="00133CE4" w:rsidRDefault="005D3482" w:rsidP="00DD0073">
      <w:pPr>
        <w:pStyle w:val="BodytextRegular"/>
      </w:pPr>
      <w:r w:rsidRPr="00133CE4">
        <w:t>The Trustee ha</w:t>
      </w:r>
      <w:r w:rsidR="00443936" w:rsidRPr="00133CE4">
        <w:t>s</w:t>
      </w:r>
      <w:r w:rsidRPr="00133CE4">
        <w:t xml:space="preserve"> delegated responsibility for voting on their behalf to the Fiduciary Manager and Underlying Investment Managers. Most voting rights associated with the Scheme’s investments pertain to the underlying securities within the pooled funds managed by the Underlying Investment Managers. In a general meeting of a company issuing these securities, the Underlying Investment Managers exercise their voting rights according to their own policies, which the Fiduciary Manager may have influenced.</w:t>
      </w:r>
    </w:p>
    <w:p w14:paraId="35C0FF82" w14:textId="408D9023" w:rsidR="005D3482" w:rsidRPr="00133CE4" w:rsidRDefault="005D3482" w:rsidP="005D3482">
      <w:pPr>
        <w:pStyle w:val="BodytextRegular"/>
      </w:pPr>
      <w:r w:rsidRPr="00133CE4">
        <w:t>The pooled funds themselves often confer certain rights around voting or policies. These rights are exercised by the Fiduciary Manager on behalf of the Trustee, in line with the Trustee</w:t>
      </w:r>
      <w:r w:rsidR="00443936" w:rsidRPr="00133CE4">
        <w:t>’</w:t>
      </w:r>
      <w:r w:rsidRPr="00133CE4">
        <w:t>s stewardship policy.</w:t>
      </w:r>
      <w:bookmarkStart w:id="2" w:name="_Hlk130734656"/>
      <w:r w:rsidR="00E576F2" w:rsidRPr="00133CE4">
        <w:t xml:space="preserve"> </w:t>
      </w:r>
    </w:p>
    <w:p w14:paraId="4816F79E" w14:textId="77777777" w:rsidR="005D3482" w:rsidRPr="00133CE4" w:rsidRDefault="005D3482" w:rsidP="005D3482">
      <w:pPr>
        <w:pStyle w:val="Paragraphheaderprussiannavy"/>
      </w:pPr>
      <w:bookmarkStart w:id="3" w:name="_Hlk152318381"/>
      <w:bookmarkEnd w:id="2"/>
      <w:r w:rsidRPr="00133CE4">
        <w:t>Voting by the Fiduciary Manager</w:t>
      </w:r>
    </w:p>
    <w:p w14:paraId="342636A0" w14:textId="40791B41" w:rsidR="005D3482" w:rsidRPr="00133CE4" w:rsidRDefault="005D3482" w:rsidP="005D3482">
      <w:pPr>
        <w:pStyle w:val="BodytextRegular"/>
      </w:pPr>
      <w:r w:rsidRPr="00133CE4">
        <w:t xml:space="preserve">Over the year to </w:t>
      </w:r>
      <w:r w:rsidR="006C2672" w:rsidRPr="00133CE4">
        <w:t>30 June 2025</w:t>
      </w:r>
      <w:r w:rsidRPr="00133CE4">
        <w:t xml:space="preserve">, </w:t>
      </w:r>
      <w:bookmarkStart w:id="4" w:name="_Hlk145667614"/>
      <w:r w:rsidRPr="00133CE4">
        <w:t>regarding clients’ pooled fund investments</w:t>
      </w:r>
      <w:r w:rsidRPr="00133CE4">
        <w:rPr>
          <w:rStyle w:val="FootnoteReference"/>
        </w:rPr>
        <w:footnoteReference w:id="2"/>
      </w:r>
      <w:r w:rsidRPr="00133CE4">
        <w:t xml:space="preserve">, the Fiduciary Manager voted on </w:t>
      </w:r>
      <w:r w:rsidR="008A7344" w:rsidRPr="00133CE4">
        <w:t>120</w:t>
      </w:r>
      <w:r w:rsidRPr="00133CE4">
        <w:t xml:space="preserve"> resolutions across </w:t>
      </w:r>
      <w:r w:rsidR="00357B1B" w:rsidRPr="00133CE4">
        <w:t>1</w:t>
      </w:r>
      <w:r w:rsidR="008A7344" w:rsidRPr="00133CE4">
        <w:t>7</w:t>
      </w:r>
      <w:r w:rsidR="00FD2F32" w:rsidRPr="00133CE4">
        <w:t xml:space="preserve"> </w:t>
      </w:r>
      <w:r w:rsidRPr="00133CE4">
        <w:t xml:space="preserve">meetings. The Fiduciary Manager voted against management on </w:t>
      </w:r>
      <w:r w:rsidR="008A7344" w:rsidRPr="00133CE4">
        <w:t>12</w:t>
      </w:r>
      <w:r w:rsidRPr="00133CE4">
        <w:t xml:space="preserve"> resolution</w:t>
      </w:r>
      <w:r w:rsidR="002C2E67" w:rsidRPr="00133CE4">
        <w:t>s</w:t>
      </w:r>
      <w:r w:rsidRPr="00133CE4">
        <w:t xml:space="preserve"> (</w:t>
      </w:r>
      <w:r w:rsidR="008A7344" w:rsidRPr="00133CE4">
        <w:t>10.0</w:t>
      </w:r>
      <w:r w:rsidRPr="00133CE4">
        <w:t xml:space="preserve">% of total resolutions) and abstained on </w:t>
      </w:r>
      <w:r w:rsidR="008A7344" w:rsidRPr="00133CE4">
        <w:t>47</w:t>
      </w:r>
      <w:r w:rsidRPr="00133CE4">
        <w:t xml:space="preserve"> resolutions (</w:t>
      </w:r>
      <w:r w:rsidR="008A7344" w:rsidRPr="00133CE4">
        <w:t>39.2</w:t>
      </w:r>
      <w:r w:rsidRPr="00133CE4">
        <w:t>% of the total resolutions). The voting topics covered a range of areas, including executive board composition, investment management processes, fund documentation, auditor tenure and fund costs.</w:t>
      </w:r>
      <w:r w:rsidR="00E576F2" w:rsidRPr="00133CE4">
        <w:t xml:space="preserve"> The Trustee noted that the voting conducted by the Fiduciary Manager shown in this section is in relation to the management of the pooled funds themselves rather than the underlying portfolio securities, whereas the voting statistics </w:t>
      </w:r>
      <w:r w:rsidR="0078653E" w:rsidRPr="00133CE4">
        <w:t>of the Schroders Life Global Diversified Fund</w:t>
      </w:r>
      <w:r w:rsidR="00E576F2" w:rsidRPr="00133CE4">
        <w:t>, conducted by the Schroders Active Ownership team are in relation to the underlying securities where voting rights are attached.</w:t>
      </w:r>
    </w:p>
    <w:bookmarkEnd w:id="3"/>
    <w:bookmarkEnd w:id="4"/>
    <w:p w14:paraId="390A63E1" w14:textId="77777777" w:rsidR="005D3482" w:rsidRPr="00133CE4" w:rsidRDefault="005D3482" w:rsidP="005D3482">
      <w:pPr>
        <w:pStyle w:val="Paragraphheaderprussiannavy"/>
      </w:pPr>
      <w:r w:rsidRPr="00133CE4">
        <w:t xml:space="preserve">Voting by the Underlying Investment Managers </w:t>
      </w:r>
    </w:p>
    <w:p w14:paraId="5EA67AB7" w14:textId="77777777" w:rsidR="005D3482" w:rsidRPr="00133CE4" w:rsidRDefault="005D3482" w:rsidP="005D3482">
      <w:pPr>
        <w:pStyle w:val="Paragraphheaderdeepcerulean"/>
      </w:pPr>
      <w:r w:rsidRPr="00133CE4">
        <w:t>Most Significant Votes</w:t>
      </w:r>
    </w:p>
    <w:p w14:paraId="33BE9F5D" w14:textId="77777777" w:rsidR="005D3482" w:rsidRPr="00133CE4" w:rsidRDefault="005D3482" w:rsidP="005D3482">
      <w:pPr>
        <w:pStyle w:val="BodytextRegular"/>
      </w:pPr>
      <w:r w:rsidRPr="00133CE4">
        <w:t xml:space="preserve">The following criteria must be met for a vote to be considered </w:t>
      </w:r>
      <w:r w:rsidR="00514173" w:rsidRPr="00133CE4">
        <w:t>‘</w:t>
      </w:r>
      <w:r w:rsidRPr="00133CE4">
        <w:t>significant</w:t>
      </w:r>
      <w:r w:rsidR="00514173" w:rsidRPr="00133CE4">
        <w:t>’</w:t>
      </w:r>
      <w:r w:rsidRPr="00133CE4">
        <w:t>:</w:t>
      </w:r>
    </w:p>
    <w:p w14:paraId="32F4874E" w14:textId="1A3F18E4" w:rsidR="005D3482" w:rsidRPr="00133CE4" w:rsidRDefault="005D3482" w:rsidP="005D3482">
      <w:pPr>
        <w:pStyle w:val="NumberedlistRegular"/>
      </w:pPr>
      <w:r w:rsidRPr="00133CE4">
        <w:t xml:space="preserve">Must relate to the </w:t>
      </w:r>
      <w:r w:rsidR="006D4125" w:rsidRPr="00133CE4">
        <w:rPr>
          <w:b/>
          <w:bCs/>
        </w:rPr>
        <w:t>Schroders Life Global Diversified Equity Fund</w:t>
      </w:r>
    </w:p>
    <w:p w14:paraId="69F790FA" w14:textId="77777777" w:rsidR="005D3482" w:rsidRPr="00133CE4" w:rsidRDefault="005D3482" w:rsidP="005D3482">
      <w:pPr>
        <w:pStyle w:val="NumberedlistRegular"/>
      </w:pPr>
      <w:r w:rsidRPr="00133CE4">
        <w:t>Must be defined as significant by the Fiduciary Manager; and</w:t>
      </w:r>
    </w:p>
    <w:p w14:paraId="5981B843" w14:textId="0B9E4F74" w:rsidR="005D3482" w:rsidRPr="00133CE4" w:rsidRDefault="005D3482" w:rsidP="005D3482">
      <w:pPr>
        <w:pStyle w:val="NumberedlistRegular"/>
      </w:pPr>
      <w:r w:rsidRPr="00133CE4">
        <w:t xml:space="preserve">Must relate to the </w:t>
      </w:r>
      <w:r w:rsidR="007509CC" w:rsidRPr="00133CE4">
        <w:t>Trustee</w:t>
      </w:r>
      <w:r w:rsidR="00443936" w:rsidRPr="00133CE4">
        <w:t>’</w:t>
      </w:r>
      <w:r w:rsidR="007509CC" w:rsidRPr="00133CE4">
        <w:t xml:space="preserve">s </w:t>
      </w:r>
      <w:r w:rsidRPr="00133CE4">
        <w:t>stewardship priority themes</w:t>
      </w:r>
    </w:p>
    <w:p w14:paraId="6086BC54" w14:textId="01AAB242" w:rsidR="005D3482" w:rsidRPr="00133CE4" w:rsidRDefault="005D3482" w:rsidP="00EE0306">
      <w:pPr>
        <w:pStyle w:val="NumberedlistRegular"/>
        <w:numPr>
          <w:ilvl w:val="0"/>
          <w:numId w:val="0"/>
        </w:numPr>
      </w:pPr>
      <w:r w:rsidRPr="00133CE4">
        <w:t xml:space="preserve">The </w:t>
      </w:r>
      <w:r w:rsidR="00EE0306" w:rsidRPr="00133CE4">
        <w:rPr>
          <w:b/>
          <w:bCs/>
        </w:rPr>
        <w:t>Schroders Life Global Diversified Equity Fund</w:t>
      </w:r>
      <w:r w:rsidRPr="00133CE4">
        <w:t xml:space="preserve"> constitutes a significant proportion of the Scheme’s Growth Asset portfolio and thus constitutes the majority of the Scheme’s investments in equity assets – with equity being the main asset class that holds voting rights. Additionally, within the Scheme’s Growth Asset portfolio, this is the only fund for which the Fiduciary Manager has responsibility over security selection. For these reasons, the voting activity associated with the securities in this fund holds particular significance for the Scheme. </w:t>
      </w:r>
    </w:p>
    <w:p w14:paraId="2BF3C220" w14:textId="12924FEB" w:rsidR="005D3482" w:rsidRPr="00133CE4" w:rsidRDefault="006D4125" w:rsidP="005D3482">
      <w:pPr>
        <w:pStyle w:val="BodytextRegular"/>
      </w:pPr>
      <w:r w:rsidRPr="00133CE4">
        <w:t>Schroders Active Ownership team exercise</w:t>
      </w:r>
      <w:r w:rsidR="0078653E" w:rsidRPr="00133CE4">
        <w:t>s</w:t>
      </w:r>
      <w:r w:rsidRPr="00133CE4">
        <w:t xml:space="preserve"> the voting rights, in line with the Schroder’s Global Voting Guides (shown in the appendix), which is guided by the Schroders’ </w:t>
      </w:r>
      <w:r w:rsidRPr="00133CE4">
        <w:rPr>
          <w:b/>
          <w:bCs/>
        </w:rPr>
        <w:t>Engagement Blueprint</w:t>
      </w:r>
      <w:r w:rsidRPr="00133CE4">
        <w:t xml:space="preserve">. </w:t>
      </w:r>
      <w:r w:rsidR="005D3482" w:rsidRPr="00133CE4">
        <w:t>The Fiduciary Manager believes that all resolutions voted against the board’s recommendations should be classified as a significant vote. Generally, the Fiduciary Manager does not communicate their voting intentions to companies regarding shareholder resolutions. Regarding next steps after a vote, in the instance that votes are successful, the Schroders team will typically monitor progress closely</w:t>
      </w:r>
      <w:r w:rsidRPr="00133CE4">
        <w:t>. If the votes are unsuccessful, Schroders will typically look to engage with the companies before the next AGM takes place.</w:t>
      </w:r>
    </w:p>
    <w:p w14:paraId="445578E7" w14:textId="7E8DC5CE" w:rsidR="002143B6" w:rsidRPr="00133CE4" w:rsidRDefault="005D3482" w:rsidP="00254DE8">
      <w:pPr>
        <w:pStyle w:val="BodytextRegular"/>
      </w:pPr>
      <w:r w:rsidRPr="00133CE4">
        <w:t>Of the votes that satisfy the above criteria, the Trustee</w:t>
      </w:r>
      <w:r w:rsidR="00443936" w:rsidRPr="00133CE4">
        <w:t xml:space="preserve"> has</w:t>
      </w:r>
      <w:r w:rsidRPr="00133CE4">
        <w:t xml:space="preserve"> selected one vote relating to each of the priority themes that they deem most material to the long-term value of the investments. These votes are hereby defined as ‘most significant votes’, and as per DWP guidance, the Trustee</w:t>
      </w:r>
      <w:r w:rsidR="00443936" w:rsidRPr="00133CE4">
        <w:t xml:space="preserve"> has</w:t>
      </w:r>
      <w:r w:rsidRPr="00133CE4">
        <w:t xml:space="preserve"> communicated this definition of ‘most significant votes’ to the Fiduciary Manager. All of the most significant votes over this Scheme Year have been reported below. </w:t>
      </w:r>
      <w:r w:rsidR="002143B6" w:rsidRPr="00133CE4">
        <w:br w:type="page"/>
      </w:r>
    </w:p>
    <w:p w14:paraId="1E0C20FE" w14:textId="2FBC4152" w:rsidR="005D3482" w:rsidRPr="00133CE4" w:rsidRDefault="005D3482" w:rsidP="005D3482">
      <w:pPr>
        <w:pStyle w:val="BodytextRegular"/>
        <w:rPr>
          <w:i/>
          <w:iCs/>
        </w:rPr>
      </w:pPr>
      <w:r w:rsidRPr="00133CE4">
        <w:rPr>
          <w:b/>
          <w:bCs/>
          <w:lang w:eastAsia="ja-JP"/>
        </w:rPr>
        <w:lastRenderedPageBreak/>
        <w:t>CLIMATE CHANGE –</w:t>
      </w:r>
      <w:r w:rsidRPr="00133CE4">
        <w:rPr>
          <w:lang w:eastAsia="ja-JP"/>
        </w:rPr>
        <w:t xml:space="preserve"> At Meta Platforms Inc.’s AGM on 29 May 2025, Schroders supported a shareholder proposal calling for alignment of lobbying activities with the company’s net zero emissions commitment by 2030. This vote, cast against management, reflected Schroders’s belief that shareholders benefit from understanding how lobbying supports long-term climate goals. The proposal was not approved, consistent with other ESG proposals at Meta that have gained significant independent shareholder backing but failed due to the company’s dual-class share structure, which grants Mark Zuckerberg majority voting control.</w:t>
      </w:r>
    </w:p>
    <w:p w14:paraId="525A7967" w14:textId="60813AB9" w:rsidR="005D3482" w:rsidRPr="00133CE4" w:rsidRDefault="005D3482" w:rsidP="0017343D">
      <w:pPr>
        <w:pStyle w:val="BodytextRegular"/>
        <w:rPr>
          <w:i/>
          <w:iCs/>
        </w:rPr>
      </w:pPr>
      <w:r w:rsidRPr="00133CE4">
        <w:rPr>
          <w:b/>
          <w:bCs/>
          <w:lang w:eastAsia="ja-JP"/>
        </w:rPr>
        <w:t>NATURAL CAPITAL AND BIODIVERSITY -</w:t>
      </w:r>
      <w:r w:rsidRPr="00133CE4">
        <w:rPr>
          <w:lang w:eastAsia="ja-JP"/>
        </w:rPr>
        <w:t xml:space="preserve"> At Amazon.com Inc.’s AGM on 21 May 2025, Schroders voted for a proposal requesting disclosure on the company’s use of unrecyclable flexible plastic packaging, a material widely criticized for its environmental impact, especially on marine ecosystems. Amazon is believed to be one of the largest users of flexible plastic packaging globally, yet it does not disclose the tonnage used. Schroders viewed expanded reporting as beneficial for transparency and reducing environmental risks, particularly to marine ecosystems. Management opposed the proposal, arguing existing reporting was sufficient. While the resolution did not pass, Schroders noted Amazon has reported reduced plastic packaging by more than 25% in 2024.</w:t>
      </w:r>
      <w:r w:rsidRPr="00133CE4">
        <w:rPr>
          <w:i/>
          <w:iCs/>
        </w:rPr>
        <w:t xml:space="preserve"> </w:t>
      </w:r>
    </w:p>
    <w:p w14:paraId="0DDADFD5" w14:textId="54BE4507" w:rsidR="005D3482" w:rsidRPr="00133CE4" w:rsidRDefault="005D3482" w:rsidP="0017343D">
      <w:pPr>
        <w:pStyle w:val="BodytextRegular"/>
        <w:rPr>
          <w:i/>
          <w:iCs/>
        </w:rPr>
      </w:pPr>
      <w:r w:rsidRPr="00133CE4">
        <w:rPr>
          <w:b/>
          <w:bCs/>
          <w:lang w:eastAsia="ja-JP"/>
        </w:rPr>
        <w:t>HUMAN RIGHTS –</w:t>
      </w:r>
      <w:r w:rsidRPr="00133CE4">
        <w:rPr>
          <w:lang w:eastAsia="ja-JP"/>
        </w:rPr>
        <w:t xml:space="preserve"> At Johnson and Johnson’s AGM on 24 May 2025, Schroders supported a shareholder resolution led by Mercy Investment Services, a socially responsible investor, calling for a human rights impact assessment (HRIA) on operations related to access to medicines. Although J has due diligence processes in place, concerns were raised that its lobbying activities may undermine commitments on access. Schroders supported the proposal, which is aligned to international human rights standards, believing it would improve transparency, reduce reputational and regulatory risks, and protect long-term shareholder value. Unfortunately, the resolution was not passed.</w:t>
      </w:r>
      <w:r w:rsidRPr="00133CE4">
        <w:rPr>
          <w:i/>
          <w:iCs/>
        </w:rPr>
        <w:t xml:space="preserve"> </w:t>
      </w:r>
    </w:p>
    <w:p w14:paraId="20C9A980" w14:textId="77777777" w:rsidR="005D3482" w:rsidRPr="00133CE4" w:rsidRDefault="005D3482" w:rsidP="0036275A">
      <w:pPr>
        <w:pStyle w:val="Paragraphheaderdeepcerulean"/>
      </w:pPr>
      <w:r w:rsidRPr="00133CE4">
        <w:t>Summary Voting Statistics</w:t>
      </w:r>
    </w:p>
    <w:p w14:paraId="73786167" w14:textId="226AF4FD" w:rsidR="005D3482" w:rsidRPr="00133CE4" w:rsidRDefault="005D3482" w:rsidP="0036275A">
      <w:pPr>
        <w:pStyle w:val="BodytextRegular"/>
      </w:pPr>
      <w:r w:rsidRPr="00133CE4">
        <w:t xml:space="preserve">Only the Scheme’s equity and some alternative (hedge fund) holdings invest in assets with voting rights attached. Below are the voting statistics over the 12 months to </w:t>
      </w:r>
      <w:r w:rsidR="00A61DAA" w:rsidRPr="00133CE4">
        <w:t>30 June</w:t>
      </w:r>
      <w:r w:rsidR="00AC4B89" w:rsidRPr="00133CE4">
        <w:t xml:space="preserve"> 2025</w:t>
      </w:r>
      <w:r w:rsidRPr="00133CE4">
        <w:t xml:space="preserve"> for the most material funds held on behalf of the Trustee that had voting rights during the period. </w:t>
      </w:r>
    </w:p>
    <w:p w14:paraId="2C9021E8" w14:textId="23B1D1C2" w:rsidR="006D4125" w:rsidRPr="00133CE4" w:rsidRDefault="006D4125" w:rsidP="0036275A">
      <w:pPr>
        <w:pStyle w:val="BodytextRegular"/>
      </w:pPr>
      <w:r w:rsidRPr="00133CE4">
        <w:t>Some of the Scheme’s equity holdings are invested via Exchange Traded Funds (ETFs) where voting is also relevant. However, given they are not strategic asset allocations within the Scheme’s growth portfolio, and the Trustee</w:t>
      </w:r>
      <w:r w:rsidR="00443936" w:rsidRPr="00133CE4">
        <w:t xml:space="preserve"> has </w:t>
      </w:r>
      <w:r w:rsidRPr="00133CE4">
        <w:t>little influence on the ETF providers’ voting and engagement approach, the Trustee ha</w:t>
      </w:r>
      <w:r w:rsidR="00443936" w:rsidRPr="00133CE4">
        <w:t>s</w:t>
      </w:r>
      <w:r w:rsidRPr="00133CE4">
        <w:t xml:space="preserve"> elected to not include the voting statistics of the ETFs in this Implementation Statement. Instead, the ETF providers’ voting and engagement policies are included in the Appendix.</w:t>
      </w:r>
    </w:p>
    <w:tbl>
      <w:tblPr>
        <w:tblStyle w:val="Table"/>
        <w:tblW w:w="9774" w:type="dxa"/>
        <w:tblBorders>
          <w:insideH w:val="single" w:sz="4" w:space="0" w:color="auto"/>
          <w:insideV w:val="single" w:sz="4" w:space="0" w:color="auto"/>
        </w:tblBorders>
        <w:tblLayout w:type="fixed"/>
        <w:tblLook w:val="0620" w:firstRow="1" w:lastRow="0" w:firstColumn="0" w:lastColumn="0" w:noHBand="1" w:noVBand="1"/>
      </w:tblPr>
      <w:tblGrid>
        <w:gridCol w:w="4074"/>
        <w:gridCol w:w="2850"/>
        <w:gridCol w:w="2850"/>
      </w:tblGrid>
      <w:tr w:rsidR="002E34EF" w:rsidRPr="00133CE4" w14:paraId="451BF21C" w14:textId="77777777" w:rsidTr="002E34EF">
        <w:trPr>
          <w:cnfStyle w:val="100000000000" w:firstRow="1" w:lastRow="0" w:firstColumn="0" w:lastColumn="0" w:oddVBand="0" w:evenVBand="0" w:oddHBand="0" w:evenHBand="0" w:firstRowFirstColumn="0" w:firstRowLastColumn="0" w:lastRowFirstColumn="0" w:lastRowLastColumn="0"/>
          <w:trHeight w:val="726"/>
        </w:trPr>
        <w:tc>
          <w:tcPr>
            <w:tcW w:w="4074" w:type="dxa"/>
            <w:tcBorders>
              <w:bottom w:val="single" w:sz="4" w:space="0" w:color="auto"/>
            </w:tcBorders>
          </w:tcPr>
          <w:p w14:paraId="088A24E8" w14:textId="77777777" w:rsidR="002E34EF" w:rsidRPr="00133CE4" w:rsidRDefault="002E34EF" w:rsidP="00AA3509">
            <w:pPr>
              <w:pStyle w:val="TabletextBold0"/>
              <w:rPr>
                <w:b/>
                <w:bCs w:val="0"/>
              </w:rPr>
            </w:pPr>
            <w:r w:rsidRPr="00133CE4">
              <w:rPr>
                <w:b/>
                <w:bCs w:val="0"/>
              </w:rPr>
              <w:t>Equity Funds</w:t>
            </w:r>
          </w:p>
        </w:tc>
        <w:tc>
          <w:tcPr>
            <w:tcW w:w="2850" w:type="dxa"/>
            <w:tcBorders>
              <w:bottom w:val="single" w:sz="4" w:space="0" w:color="auto"/>
            </w:tcBorders>
          </w:tcPr>
          <w:p w14:paraId="107B6CDC" w14:textId="04428DDB" w:rsidR="002E34EF" w:rsidRPr="00133CE4" w:rsidRDefault="002E34EF" w:rsidP="00AA3509">
            <w:pPr>
              <w:pStyle w:val="TabletextBold0"/>
              <w:jc w:val="right"/>
              <w:rPr>
                <w:bCs w:val="0"/>
              </w:rPr>
            </w:pPr>
            <w:r w:rsidRPr="00133CE4">
              <w:rPr>
                <w:b/>
                <w:bCs w:val="0"/>
              </w:rPr>
              <w:t>Schroders Life Global Diversified Equity Fund</w:t>
            </w:r>
          </w:p>
        </w:tc>
        <w:tc>
          <w:tcPr>
            <w:tcW w:w="2850" w:type="dxa"/>
            <w:tcBorders>
              <w:bottom w:val="single" w:sz="4" w:space="0" w:color="auto"/>
            </w:tcBorders>
          </w:tcPr>
          <w:p w14:paraId="036DF641" w14:textId="77777777" w:rsidR="002E34EF" w:rsidRPr="00133CE4" w:rsidRDefault="002E34EF" w:rsidP="00AA3509">
            <w:pPr>
              <w:pStyle w:val="TabletextBold0"/>
              <w:jc w:val="right"/>
              <w:rPr>
                <w:b/>
              </w:rPr>
            </w:pPr>
            <w:r w:rsidRPr="00133CE4">
              <w:rPr>
                <w:b/>
              </w:rPr>
              <w:t>Lazard US Small Cap Equity Fund</w:t>
            </w:r>
          </w:p>
        </w:tc>
      </w:tr>
      <w:tr w:rsidR="002E34EF" w:rsidRPr="00133CE4" w14:paraId="0F7FAA4D" w14:textId="77777777" w:rsidTr="002E34EF">
        <w:trPr>
          <w:trHeight w:val="269"/>
        </w:trPr>
        <w:tc>
          <w:tcPr>
            <w:tcW w:w="4074" w:type="dxa"/>
            <w:tcBorders>
              <w:top w:val="single" w:sz="4" w:space="0" w:color="auto"/>
              <w:bottom w:val="nil"/>
              <w:right w:val="nil"/>
            </w:tcBorders>
            <w:vAlign w:val="top"/>
          </w:tcPr>
          <w:p w14:paraId="5C23F6FC" w14:textId="77777777" w:rsidR="002E34EF" w:rsidRPr="00133CE4" w:rsidRDefault="002E34EF" w:rsidP="00551985">
            <w:pPr>
              <w:pStyle w:val="Tabletext"/>
            </w:pPr>
            <w:r w:rsidRPr="00133CE4">
              <w:t>Total meetings eligible to vote</w:t>
            </w:r>
          </w:p>
        </w:tc>
        <w:tc>
          <w:tcPr>
            <w:tcW w:w="2850" w:type="dxa"/>
            <w:tcBorders>
              <w:top w:val="single" w:sz="4" w:space="0" w:color="auto"/>
              <w:left w:val="nil"/>
              <w:bottom w:val="nil"/>
              <w:right w:val="nil"/>
            </w:tcBorders>
          </w:tcPr>
          <w:p w14:paraId="68B2C374" w14:textId="21BA8260" w:rsidR="002E34EF" w:rsidRPr="00133CE4" w:rsidRDefault="002E34EF" w:rsidP="00551985">
            <w:pPr>
              <w:pStyle w:val="Tabletext"/>
              <w:jc w:val="right"/>
              <w:rPr>
                <w:bCs/>
              </w:rPr>
            </w:pPr>
            <w:r w:rsidRPr="00133CE4">
              <w:t>356</w:t>
            </w:r>
          </w:p>
        </w:tc>
        <w:tc>
          <w:tcPr>
            <w:tcW w:w="2850" w:type="dxa"/>
            <w:tcBorders>
              <w:top w:val="single" w:sz="4" w:space="0" w:color="auto"/>
              <w:left w:val="nil"/>
              <w:bottom w:val="nil"/>
              <w:right w:val="nil"/>
            </w:tcBorders>
          </w:tcPr>
          <w:p w14:paraId="4BB44AD8" w14:textId="77777777" w:rsidR="002E34EF" w:rsidRPr="00133CE4" w:rsidDel="00A76E5A" w:rsidRDefault="002E34EF" w:rsidP="00551985">
            <w:pPr>
              <w:pStyle w:val="Tabletext"/>
              <w:jc w:val="right"/>
              <w:rPr>
                <w:bCs/>
              </w:rPr>
            </w:pPr>
            <w:r w:rsidRPr="00133CE4">
              <w:rPr>
                <w:bCs/>
              </w:rPr>
              <w:t>427</w:t>
            </w:r>
          </w:p>
        </w:tc>
      </w:tr>
      <w:tr w:rsidR="002E34EF" w:rsidRPr="00133CE4" w14:paraId="5AB27E92" w14:textId="77777777" w:rsidTr="002E34EF">
        <w:trPr>
          <w:trHeight w:val="375"/>
        </w:trPr>
        <w:tc>
          <w:tcPr>
            <w:tcW w:w="4074" w:type="dxa"/>
            <w:tcBorders>
              <w:top w:val="nil"/>
              <w:bottom w:val="nil"/>
              <w:right w:val="nil"/>
            </w:tcBorders>
            <w:vAlign w:val="top"/>
          </w:tcPr>
          <w:p w14:paraId="2FB5042C" w14:textId="77777777" w:rsidR="002E34EF" w:rsidRPr="00133CE4" w:rsidRDefault="002E34EF" w:rsidP="00551985">
            <w:pPr>
              <w:pStyle w:val="Tabletext"/>
            </w:pPr>
            <w:r w:rsidRPr="00133CE4">
              <w:t>Total resolutions eligible to vote</w:t>
            </w:r>
          </w:p>
        </w:tc>
        <w:tc>
          <w:tcPr>
            <w:tcW w:w="2850" w:type="dxa"/>
            <w:tcBorders>
              <w:top w:val="nil"/>
              <w:left w:val="nil"/>
              <w:bottom w:val="nil"/>
              <w:right w:val="nil"/>
            </w:tcBorders>
          </w:tcPr>
          <w:p w14:paraId="20417654" w14:textId="24E66473" w:rsidR="002E34EF" w:rsidRPr="00133CE4" w:rsidRDefault="002E34EF" w:rsidP="00551985">
            <w:pPr>
              <w:pStyle w:val="Tabletext"/>
              <w:jc w:val="right"/>
              <w:rPr>
                <w:bCs/>
              </w:rPr>
            </w:pPr>
            <w:r w:rsidRPr="00133CE4">
              <w:t>5,049</w:t>
            </w:r>
          </w:p>
        </w:tc>
        <w:tc>
          <w:tcPr>
            <w:tcW w:w="2850" w:type="dxa"/>
            <w:tcBorders>
              <w:top w:val="nil"/>
              <w:left w:val="nil"/>
              <w:bottom w:val="nil"/>
              <w:right w:val="nil"/>
            </w:tcBorders>
          </w:tcPr>
          <w:p w14:paraId="08ED7407" w14:textId="77777777" w:rsidR="002E34EF" w:rsidRPr="00133CE4" w:rsidDel="00A76E5A" w:rsidRDefault="002E34EF" w:rsidP="00551985">
            <w:pPr>
              <w:pStyle w:val="Tabletext"/>
              <w:jc w:val="right"/>
              <w:rPr>
                <w:bCs/>
              </w:rPr>
            </w:pPr>
            <w:r w:rsidRPr="00133CE4">
              <w:rPr>
                <w:bCs/>
              </w:rPr>
              <w:t>3,753</w:t>
            </w:r>
          </w:p>
        </w:tc>
      </w:tr>
      <w:tr w:rsidR="002E34EF" w:rsidRPr="00133CE4" w14:paraId="5A676F79" w14:textId="77777777" w:rsidTr="002E34EF">
        <w:trPr>
          <w:trHeight w:val="586"/>
        </w:trPr>
        <w:tc>
          <w:tcPr>
            <w:tcW w:w="4074" w:type="dxa"/>
            <w:tcBorders>
              <w:top w:val="nil"/>
              <w:bottom w:val="nil"/>
              <w:right w:val="nil"/>
            </w:tcBorders>
            <w:vAlign w:val="top"/>
          </w:tcPr>
          <w:p w14:paraId="0CAE9E2E" w14:textId="77777777" w:rsidR="002E34EF" w:rsidRPr="00133CE4" w:rsidRDefault="002E34EF" w:rsidP="00551985">
            <w:pPr>
              <w:pStyle w:val="Tabletext"/>
            </w:pPr>
            <w:r w:rsidRPr="00133CE4">
              <w:t xml:space="preserve">Of resolutions eligible to vote, % of resolutions voted on </w:t>
            </w:r>
          </w:p>
        </w:tc>
        <w:tc>
          <w:tcPr>
            <w:tcW w:w="2850" w:type="dxa"/>
            <w:tcBorders>
              <w:top w:val="nil"/>
              <w:left w:val="nil"/>
              <w:bottom w:val="nil"/>
              <w:right w:val="nil"/>
            </w:tcBorders>
          </w:tcPr>
          <w:p w14:paraId="677F58A4" w14:textId="1741BE99" w:rsidR="002E34EF" w:rsidRPr="00133CE4" w:rsidRDefault="002E34EF" w:rsidP="00551985">
            <w:pPr>
              <w:pStyle w:val="Tabletext"/>
              <w:jc w:val="right"/>
              <w:rPr>
                <w:bCs/>
              </w:rPr>
            </w:pPr>
            <w:r w:rsidRPr="00133CE4">
              <w:t>91%</w:t>
            </w:r>
          </w:p>
        </w:tc>
        <w:tc>
          <w:tcPr>
            <w:tcW w:w="2850" w:type="dxa"/>
            <w:tcBorders>
              <w:top w:val="nil"/>
              <w:left w:val="nil"/>
              <w:bottom w:val="nil"/>
              <w:right w:val="nil"/>
            </w:tcBorders>
          </w:tcPr>
          <w:p w14:paraId="4111444E" w14:textId="77777777" w:rsidR="002E34EF" w:rsidRPr="00133CE4" w:rsidDel="00A76E5A" w:rsidRDefault="002E34EF" w:rsidP="00551985">
            <w:pPr>
              <w:pStyle w:val="Tabletext"/>
              <w:jc w:val="right"/>
              <w:rPr>
                <w:bCs/>
              </w:rPr>
            </w:pPr>
            <w:r w:rsidRPr="00133CE4">
              <w:rPr>
                <w:bCs/>
              </w:rPr>
              <w:t>99%</w:t>
            </w:r>
          </w:p>
        </w:tc>
      </w:tr>
      <w:tr w:rsidR="002E34EF" w:rsidRPr="00133CE4" w14:paraId="4A3BCA98" w14:textId="77777777" w:rsidTr="002E34EF">
        <w:trPr>
          <w:trHeight w:val="488"/>
        </w:trPr>
        <w:tc>
          <w:tcPr>
            <w:tcW w:w="4074" w:type="dxa"/>
            <w:tcBorders>
              <w:top w:val="nil"/>
              <w:bottom w:val="nil"/>
              <w:right w:val="nil"/>
            </w:tcBorders>
            <w:vAlign w:val="top"/>
          </w:tcPr>
          <w:p w14:paraId="4D2C5C0F" w14:textId="77777777" w:rsidR="002E34EF" w:rsidRPr="00133CE4" w:rsidRDefault="002E34EF" w:rsidP="00551985">
            <w:pPr>
              <w:pStyle w:val="Tabletext"/>
            </w:pPr>
            <w:r w:rsidRPr="00133CE4">
              <w:t xml:space="preserve">Of voted resolutions, % vote with management </w:t>
            </w:r>
          </w:p>
        </w:tc>
        <w:tc>
          <w:tcPr>
            <w:tcW w:w="2850" w:type="dxa"/>
            <w:tcBorders>
              <w:top w:val="nil"/>
              <w:left w:val="nil"/>
              <w:bottom w:val="nil"/>
              <w:right w:val="nil"/>
            </w:tcBorders>
          </w:tcPr>
          <w:p w14:paraId="758CA364" w14:textId="4DD0A75F" w:rsidR="002E34EF" w:rsidRPr="00133CE4" w:rsidRDefault="002E34EF" w:rsidP="00551985">
            <w:pPr>
              <w:pStyle w:val="Tabletext"/>
              <w:jc w:val="right"/>
              <w:rPr>
                <w:bCs/>
              </w:rPr>
            </w:pPr>
            <w:r w:rsidRPr="00133CE4">
              <w:t>87%</w:t>
            </w:r>
          </w:p>
        </w:tc>
        <w:tc>
          <w:tcPr>
            <w:tcW w:w="2850" w:type="dxa"/>
            <w:tcBorders>
              <w:top w:val="nil"/>
              <w:left w:val="nil"/>
              <w:bottom w:val="nil"/>
              <w:right w:val="nil"/>
            </w:tcBorders>
          </w:tcPr>
          <w:p w14:paraId="4E815581" w14:textId="77777777" w:rsidR="002E34EF" w:rsidRPr="00133CE4" w:rsidDel="00A76E5A" w:rsidRDefault="002E34EF" w:rsidP="00551985">
            <w:pPr>
              <w:pStyle w:val="Tabletext"/>
              <w:jc w:val="right"/>
              <w:rPr>
                <w:bCs/>
              </w:rPr>
            </w:pPr>
            <w:r w:rsidRPr="00133CE4">
              <w:rPr>
                <w:bCs/>
              </w:rPr>
              <w:t>85%</w:t>
            </w:r>
          </w:p>
        </w:tc>
      </w:tr>
      <w:tr w:rsidR="002E34EF" w:rsidRPr="00133CE4" w14:paraId="766776A6" w14:textId="77777777" w:rsidTr="002E34EF">
        <w:trPr>
          <w:trHeight w:val="243"/>
        </w:trPr>
        <w:tc>
          <w:tcPr>
            <w:tcW w:w="4074" w:type="dxa"/>
            <w:tcBorders>
              <w:top w:val="nil"/>
              <w:bottom w:val="nil"/>
              <w:right w:val="nil"/>
            </w:tcBorders>
            <w:vAlign w:val="top"/>
          </w:tcPr>
          <w:p w14:paraId="72D813FD" w14:textId="77777777" w:rsidR="002E34EF" w:rsidRPr="00133CE4" w:rsidRDefault="002E34EF" w:rsidP="00551985">
            <w:pPr>
              <w:pStyle w:val="Tabletext"/>
            </w:pPr>
            <w:r w:rsidRPr="00133CE4">
              <w:t>Of voted resolutions, % vote against management</w:t>
            </w:r>
          </w:p>
        </w:tc>
        <w:tc>
          <w:tcPr>
            <w:tcW w:w="2850" w:type="dxa"/>
            <w:tcBorders>
              <w:top w:val="nil"/>
              <w:left w:val="nil"/>
              <w:bottom w:val="nil"/>
              <w:right w:val="nil"/>
            </w:tcBorders>
          </w:tcPr>
          <w:p w14:paraId="59BB8B77" w14:textId="383EF541" w:rsidR="002E34EF" w:rsidRPr="00133CE4" w:rsidRDefault="002E34EF" w:rsidP="00551985">
            <w:pPr>
              <w:pStyle w:val="Tabletext"/>
              <w:jc w:val="right"/>
              <w:rPr>
                <w:bCs/>
              </w:rPr>
            </w:pPr>
            <w:r w:rsidRPr="00133CE4">
              <w:t>13%</w:t>
            </w:r>
          </w:p>
        </w:tc>
        <w:tc>
          <w:tcPr>
            <w:tcW w:w="2850" w:type="dxa"/>
            <w:tcBorders>
              <w:top w:val="nil"/>
              <w:left w:val="nil"/>
              <w:bottom w:val="nil"/>
              <w:right w:val="nil"/>
            </w:tcBorders>
          </w:tcPr>
          <w:p w14:paraId="18870791" w14:textId="77777777" w:rsidR="002E34EF" w:rsidRPr="00133CE4" w:rsidDel="00A76E5A" w:rsidRDefault="002E34EF" w:rsidP="00551985">
            <w:pPr>
              <w:pStyle w:val="Tabletext"/>
              <w:jc w:val="right"/>
              <w:rPr>
                <w:bCs/>
              </w:rPr>
            </w:pPr>
            <w:r w:rsidRPr="00133CE4">
              <w:rPr>
                <w:bCs/>
              </w:rPr>
              <w:t>15%</w:t>
            </w:r>
          </w:p>
        </w:tc>
      </w:tr>
      <w:tr w:rsidR="002E34EF" w:rsidRPr="00133CE4" w14:paraId="46AF816A" w14:textId="77777777" w:rsidTr="002E34EF">
        <w:trPr>
          <w:trHeight w:val="60"/>
        </w:trPr>
        <w:tc>
          <w:tcPr>
            <w:tcW w:w="4074" w:type="dxa"/>
            <w:tcBorders>
              <w:top w:val="nil"/>
              <w:bottom w:val="nil"/>
              <w:right w:val="nil"/>
            </w:tcBorders>
            <w:vAlign w:val="top"/>
          </w:tcPr>
          <w:p w14:paraId="7A3FBE5B" w14:textId="77777777" w:rsidR="002E34EF" w:rsidRPr="00133CE4" w:rsidRDefault="002E34EF" w:rsidP="00551985">
            <w:pPr>
              <w:pStyle w:val="Tabletext"/>
            </w:pPr>
            <w:r w:rsidRPr="00133CE4">
              <w:t>Of voted resolutions, % abstained</w:t>
            </w:r>
          </w:p>
        </w:tc>
        <w:tc>
          <w:tcPr>
            <w:tcW w:w="2850" w:type="dxa"/>
            <w:tcBorders>
              <w:top w:val="nil"/>
              <w:left w:val="nil"/>
              <w:bottom w:val="nil"/>
              <w:right w:val="nil"/>
            </w:tcBorders>
          </w:tcPr>
          <w:p w14:paraId="2130E42C" w14:textId="39DBE508" w:rsidR="002E34EF" w:rsidRPr="00133CE4" w:rsidRDefault="002E34EF" w:rsidP="00551985">
            <w:pPr>
              <w:pStyle w:val="Tabletext"/>
              <w:jc w:val="right"/>
              <w:rPr>
                <w:bCs/>
              </w:rPr>
            </w:pPr>
            <w:r w:rsidRPr="00133CE4">
              <w:t>0%</w:t>
            </w:r>
          </w:p>
        </w:tc>
        <w:tc>
          <w:tcPr>
            <w:tcW w:w="2850" w:type="dxa"/>
            <w:tcBorders>
              <w:top w:val="nil"/>
              <w:left w:val="nil"/>
              <w:bottom w:val="nil"/>
              <w:right w:val="nil"/>
            </w:tcBorders>
          </w:tcPr>
          <w:p w14:paraId="548A2D1C" w14:textId="77777777" w:rsidR="002E34EF" w:rsidRPr="00133CE4" w:rsidDel="00A76E5A" w:rsidRDefault="002E34EF" w:rsidP="00551985">
            <w:pPr>
              <w:pStyle w:val="Tabletext"/>
              <w:jc w:val="right"/>
              <w:rPr>
                <w:bCs/>
              </w:rPr>
            </w:pPr>
            <w:r w:rsidRPr="00133CE4">
              <w:rPr>
                <w:bCs/>
              </w:rPr>
              <w:t>0%</w:t>
            </w:r>
          </w:p>
        </w:tc>
      </w:tr>
      <w:tr w:rsidR="002E34EF" w:rsidRPr="00133CE4" w14:paraId="085A9BCA" w14:textId="77777777" w:rsidTr="002E34EF">
        <w:trPr>
          <w:trHeight w:val="60"/>
        </w:trPr>
        <w:tc>
          <w:tcPr>
            <w:tcW w:w="4074" w:type="dxa"/>
            <w:tcBorders>
              <w:top w:val="nil"/>
              <w:bottom w:val="single" w:sz="4" w:space="0" w:color="auto"/>
              <w:right w:val="nil"/>
            </w:tcBorders>
            <w:vAlign w:val="top"/>
          </w:tcPr>
          <w:p w14:paraId="5604AAA7" w14:textId="77777777" w:rsidR="002E34EF" w:rsidRPr="00133CE4" w:rsidRDefault="002E34EF" w:rsidP="00551985">
            <w:pPr>
              <w:pStyle w:val="Tabletext"/>
            </w:pPr>
            <w:r w:rsidRPr="00133CE4">
              <w:t>Of voted resolutions, % vote contrary to the recommendation of proxy adviser (if applicable)</w:t>
            </w:r>
          </w:p>
        </w:tc>
        <w:tc>
          <w:tcPr>
            <w:tcW w:w="2850" w:type="dxa"/>
            <w:tcBorders>
              <w:top w:val="nil"/>
              <w:left w:val="nil"/>
              <w:bottom w:val="single" w:sz="4" w:space="0" w:color="auto"/>
              <w:right w:val="nil"/>
            </w:tcBorders>
          </w:tcPr>
          <w:p w14:paraId="13781257" w14:textId="2564BE54" w:rsidR="002E34EF" w:rsidRPr="00133CE4" w:rsidRDefault="002E34EF" w:rsidP="00551985">
            <w:pPr>
              <w:pStyle w:val="Tabletext"/>
              <w:jc w:val="right"/>
              <w:rPr>
                <w:bCs/>
              </w:rPr>
            </w:pPr>
            <w:r w:rsidRPr="00133CE4">
              <w:t>10%</w:t>
            </w:r>
          </w:p>
        </w:tc>
        <w:tc>
          <w:tcPr>
            <w:tcW w:w="2850" w:type="dxa"/>
            <w:tcBorders>
              <w:top w:val="nil"/>
              <w:left w:val="nil"/>
              <w:bottom w:val="single" w:sz="4" w:space="0" w:color="auto"/>
              <w:right w:val="nil"/>
            </w:tcBorders>
          </w:tcPr>
          <w:p w14:paraId="641B1F81" w14:textId="77777777" w:rsidR="002E34EF" w:rsidRPr="00133CE4" w:rsidDel="00A76E5A" w:rsidRDefault="002E34EF" w:rsidP="00551985">
            <w:pPr>
              <w:pStyle w:val="Tabletext"/>
              <w:jc w:val="right"/>
              <w:rPr>
                <w:bCs/>
              </w:rPr>
            </w:pPr>
            <w:r w:rsidRPr="00133CE4">
              <w:rPr>
                <w:bCs/>
              </w:rPr>
              <w:t>7%</w:t>
            </w:r>
          </w:p>
        </w:tc>
      </w:tr>
      <w:tr w:rsidR="002E34EF" w:rsidRPr="00133CE4" w14:paraId="6640BF7B" w14:textId="77777777" w:rsidTr="002E34EF">
        <w:trPr>
          <w:trHeight w:val="269"/>
        </w:trPr>
        <w:tc>
          <w:tcPr>
            <w:tcW w:w="4074" w:type="dxa"/>
            <w:tcBorders>
              <w:top w:val="single" w:sz="4" w:space="0" w:color="auto"/>
              <w:bottom w:val="single" w:sz="2" w:space="0" w:color="404040" w:themeColor="text1" w:themeTint="BF"/>
              <w:right w:val="nil"/>
            </w:tcBorders>
            <w:vAlign w:val="top"/>
          </w:tcPr>
          <w:p w14:paraId="17175666" w14:textId="77777777" w:rsidR="002E34EF" w:rsidRPr="00133CE4" w:rsidRDefault="002E34EF" w:rsidP="00AA3509">
            <w:pPr>
              <w:pStyle w:val="Tabletext"/>
            </w:pPr>
            <w:r w:rsidRPr="00133CE4">
              <w:t>Proxy voting service used</w:t>
            </w:r>
          </w:p>
        </w:tc>
        <w:tc>
          <w:tcPr>
            <w:tcW w:w="2850" w:type="dxa"/>
            <w:tcBorders>
              <w:top w:val="single" w:sz="4" w:space="0" w:color="auto"/>
              <w:left w:val="nil"/>
              <w:bottom w:val="single" w:sz="2" w:space="0" w:color="404040" w:themeColor="text1" w:themeTint="BF"/>
              <w:right w:val="nil"/>
            </w:tcBorders>
          </w:tcPr>
          <w:p w14:paraId="261293BF" w14:textId="1BE35641" w:rsidR="002E34EF" w:rsidRPr="00133CE4" w:rsidRDefault="002E34EF" w:rsidP="00551985">
            <w:pPr>
              <w:pStyle w:val="Tabletext"/>
              <w:jc w:val="right"/>
              <w:rPr>
                <w:bCs/>
              </w:rPr>
            </w:pPr>
            <w:r w:rsidRPr="00133CE4">
              <w:rPr>
                <w:bCs/>
              </w:rPr>
              <w:t>GL</w:t>
            </w:r>
          </w:p>
        </w:tc>
        <w:tc>
          <w:tcPr>
            <w:tcW w:w="2850" w:type="dxa"/>
            <w:tcBorders>
              <w:top w:val="single" w:sz="4" w:space="0" w:color="auto"/>
              <w:left w:val="nil"/>
              <w:bottom w:val="single" w:sz="2" w:space="0" w:color="404040" w:themeColor="text1" w:themeTint="BF"/>
              <w:right w:val="nil"/>
            </w:tcBorders>
          </w:tcPr>
          <w:p w14:paraId="55FC296A" w14:textId="0F0278EC" w:rsidR="002E34EF" w:rsidRPr="00133CE4" w:rsidRDefault="002E34EF" w:rsidP="47856D3E">
            <w:pPr>
              <w:pStyle w:val="Tabletext"/>
              <w:jc w:val="right"/>
            </w:pPr>
            <w:r w:rsidRPr="00133CE4">
              <w:t>GL &amp; ISS</w:t>
            </w:r>
          </w:p>
        </w:tc>
      </w:tr>
    </w:tbl>
    <w:p w14:paraId="4780AD21" w14:textId="77777777" w:rsidR="0036275A" w:rsidRPr="00133CE4" w:rsidRDefault="0036275A" w:rsidP="0036275A">
      <w:pPr>
        <w:pStyle w:val="Paragraphheaderdeepcerulean"/>
      </w:pPr>
      <w:r w:rsidRPr="00133CE4">
        <w:t>Note:</w:t>
      </w:r>
    </w:p>
    <w:p w14:paraId="11F80148" w14:textId="77777777" w:rsidR="00910373" w:rsidRPr="00133CE4" w:rsidRDefault="00910373" w:rsidP="00AA3509">
      <w:pPr>
        <w:pStyle w:val="BulletedtextRegular"/>
        <w:rPr>
          <w:bCs/>
        </w:rPr>
      </w:pPr>
      <w:r w:rsidRPr="00133CE4">
        <w:rPr>
          <w:bCs/>
        </w:rPr>
        <w:t>Proxy voting services used are Glass Lewis (“GL”), Institutional Shareholder Services (“ISS”) and ZD Proxy Shareholder Services Ltd. (“ZD”).</w:t>
      </w:r>
    </w:p>
    <w:p w14:paraId="7255E472" w14:textId="25BBF615" w:rsidR="00910373" w:rsidRPr="00133CE4" w:rsidRDefault="00910373" w:rsidP="00AA3509">
      <w:pPr>
        <w:pStyle w:val="BulletedtextRegular"/>
      </w:pPr>
      <w:r w:rsidRPr="00133CE4">
        <w:lastRenderedPageBreak/>
        <w:t>Schroders Investment Management (when exercising voting rights for the Global Diversified Equity Fund use Glass Lewis (“GL”) for proxy voting services and receive ISS’s Benchmark research. Alongside ISS’s research, Schroders receives recommendations from GL in line with their own bespoke guidelines. This is complemented with analysis by their in-house ESG specialists and where appropriate with reference to financial analysts and portfolio managers.</w:t>
      </w:r>
    </w:p>
    <w:p w14:paraId="348CFFD2" w14:textId="77777777" w:rsidR="00910373" w:rsidRPr="00133CE4" w:rsidRDefault="00910373" w:rsidP="00AA3509">
      <w:pPr>
        <w:pStyle w:val="BulletedtextRegular"/>
      </w:pPr>
      <w:r w:rsidRPr="00133CE4">
        <w:t>The voting statistics provided may slightly differ depending on the exact composition the Scheme holds.</w:t>
      </w:r>
    </w:p>
    <w:p w14:paraId="203EFB33" w14:textId="77777777" w:rsidR="00910373" w:rsidRPr="00133CE4" w:rsidRDefault="00910373" w:rsidP="00AA3509">
      <w:pPr>
        <w:pStyle w:val="BulletedtextRegular"/>
      </w:pPr>
      <w:r w:rsidRPr="00133CE4">
        <w:t>Figures may not total 100% due to a variety of reasons, such as lack of management recommendation, scenarios where an agenda has been split voted, multiple ballots for the same meeting were voted different ways, or a vote of ‘Abstain’ is also considered a vote against management.</w:t>
      </w:r>
    </w:p>
    <w:p w14:paraId="2B379A30" w14:textId="101D483C" w:rsidR="00910373" w:rsidRPr="00133CE4" w:rsidRDefault="00910373" w:rsidP="00910373">
      <w:pPr>
        <w:pStyle w:val="BulletedtextRegular"/>
      </w:pPr>
      <w:r w:rsidRPr="00133CE4">
        <w:t>The new equity fund</w:t>
      </w:r>
      <w:r w:rsidR="002E34EF" w:rsidRPr="00133CE4">
        <w:t xml:space="preserve">, </w:t>
      </w:r>
      <w:r w:rsidRPr="00133CE4">
        <w:t>Lazard US Small Cap Equity Fund</w:t>
      </w:r>
      <w:r w:rsidR="002E34EF" w:rsidRPr="00133CE4">
        <w:t>,</w:t>
      </w:r>
      <w:r w:rsidRPr="00133CE4">
        <w:t xml:space="preserve"> </w:t>
      </w:r>
      <w:bookmarkStart w:id="5" w:name="_Hlk209621336"/>
      <w:r w:rsidR="002E34EF" w:rsidRPr="00133CE4">
        <w:t>was</w:t>
      </w:r>
      <w:r w:rsidRPr="00133CE4">
        <w:t xml:space="preserve"> introduced to the Growth portfolio over the Scheme Year, although the voting data is for the 12 months period to 30 June 2025, sourced from the investment managers per PLSA guidance. </w:t>
      </w:r>
    </w:p>
    <w:tbl>
      <w:tblPr>
        <w:tblStyle w:val="Table"/>
        <w:tblW w:w="9820" w:type="dxa"/>
        <w:tblLayout w:type="fixed"/>
        <w:tblLook w:val="0620" w:firstRow="1" w:lastRow="0" w:firstColumn="0" w:lastColumn="0" w:noHBand="1" w:noVBand="1"/>
      </w:tblPr>
      <w:tblGrid>
        <w:gridCol w:w="2663"/>
        <w:gridCol w:w="1400"/>
        <w:gridCol w:w="1822"/>
        <w:gridCol w:w="1120"/>
        <w:gridCol w:w="1400"/>
        <w:gridCol w:w="1415"/>
      </w:tblGrid>
      <w:tr w:rsidR="002E34EF" w:rsidRPr="00133CE4" w14:paraId="217C35C5" w14:textId="77777777" w:rsidTr="002E34EF">
        <w:trPr>
          <w:cnfStyle w:val="100000000000" w:firstRow="1" w:lastRow="0" w:firstColumn="0" w:lastColumn="0" w:oddVBand="0" w:evenVBand="0" w:oddHBand="0" w:evenHBand="0" w:firstRowFirstColumn="0" w:firstRowLastColumn="0" w:lastRowFirstColumn="0" w:lastRowLastColumn="0"/>
          <w:trHeight w:val="965"/>
          <w:tblHeader/>
        </w:trPr>
        <w:tc>
          <w:tcPr>
            <w:tcW w:w="2663" w:type="dxa"/>
            <w:tcBorders>
              <w:bottom w:val="single" w:sz="4" w:space="0" w:color="auto"/>
            </w:tcBorders>
          </w:tcPr>
          <w:bookmarkEnd w:id="5"/>
          <w:p w14:paraId="502DAEE2" w14:textId="77777777" w:rsidR="002E34EF" w:rsidRPr="00133CE4" w:rsidRDefault="002E34EF" w:rsidP="00AA3509">
            <w:pPr>
              <w:pStyle w:val="BodytextRegular"/>
              <w:spacing w:after="60"/>
            </w:pPr>
            <w:r w:rsidRPr="00133CE4">
              <w:t>Alternative Funds</w:t>
            </w:r>
          </w:p>
        </w:tc>
        <w:tc>
          <w:tcPr>
            <w:tcW w:w="1400" w:type="dxa"/>
            <w:tcBorders>
              <w:bottom w:val="single" w:sz="4" w:space="0" w:color="auto"/>
            </w:tcBorders>
          </w:tcPr>
          <w:p w14:paraId="039B027A" w14:textId="77777777" w:rsidR="002E34EF" w:rsidRPr="00133CE4" w:rsidRDefault="002E34EF" w:rsidP="00AA3509">
            <w:pPr>
              <w:pStyle w:val="BodytextRegular"/>
              <w:spacing w:after="60"/>
              <w:jc w:val="right"/>
            </w:pPr>
            <w:proofErr w:type="spellStart"/>
            <w:r w:rsidRPr="00133CE4">
              <w:t>Lumyna</w:t>
            </w:r>
            <w:proofErr w:type="spellEnd"/>
            <w:r w:rsidRPr="00133CE4">
              <w:t xml:space="preserve"> Marshall Wace - TOPS (Market Neutral) Fund</w:t>
            </w:r>
          </w:p>
        </w:tc>
        <w:tc>
          <w:tcPr>
            <w:tcW w:w="1822" w:type="dxa"/>
            <w:tcBorders>
              <w:bottom w:val="single" w:sz="4" w:space="0" w:color="auto"/>
            </w:tcBorders>
          </w:tcPr>
          <w:p w14:paraId="6CBAA4C9" w14:textId="77777777" w:rsidR="002E34EF" w:rsidRPr="00133CE4" w:rsidRDefault="002E34EF" w:rsidP="00AA3509">
            <w:pPr>
              <w:pStyle w:val="BodytextRegular"/>
              <w:spacing w:after="60"/>
              <w:jc w:val="right"/>
            </w:pPr>
            <w:proofErr w:type="spellStart"/>
            <w:r w:rsidRPr="00133CE4">
              <w:t>Lumyna</w:t>
            </w:r>
            <w:proofErr w:type="spellEnd"/>
            <w:r w:rsidRPr="00133CE4">
              <w:t xml:space="preserve"> Marshall Wace - TOPS Environmental Focus (Market Neutral) Fund</w:t>
            </w:r>
          </w:p>
        </w:tc>
        <w:tc>
          <w:tcPr>
            <w:tcW w:w="1120" w:type="dxa"/>
            <w:tcBorders>
              <w:bottom w:val="single" w:sz="4" w:space="0" w:color="auto"/>
            </w:tcBorders>
          </w:tcPr>
          <w:p w14:paraId="636900F0" w14:textId="77777777" w:rsidR="002E34EF" w:rsidRPr="00133CE4" w:rsidRDefault="002E34EF" w:rsidP="00AA3509">
            <w:pPr>
              <w:pStyle w:val="BodytextRegular"/>
              <w:spacing w:after="60"/>
              <w:jc w:val="right"/>
            </w:pPr>
            <w:r w:rsidRPr="00133CE4">
              <w:t>North Rock Fund</w:t>
            </w:r>
          </w:p>
        </w:tc>
        <w:tc>
          <w:tcPr>
            <w:tcW w:w="1400" w:type="dxa"/>
            <w:tcBorders>
              <w:bottom w:val="single" w:sz="4" w:space="0" w:color="auto"/>
            </w:tcBorders>
          </w:tcPr>
          <w:p w14:paraId="4E55EA6D" w14:textId="77777777" w:rsidR="002E34EF" w:rsidRPr="00133CE4" w:rsidRDefault="002E34EF" w:rsidP="00AA3509">
            <w:pPr>
              <w:pStyle w:val="RMbody"/>
              <w:jc w:val="right"/>
              <w:rPr>
                <w:rFonts w:asciiTheme="minorHAnsi" w:hAnsiTheme="minorHAnsi"/>
                <w:color w:val="000000" w:themeColor="text1"/>
                <w:sz w:val="18"/>
                <w:szCs w:val="20"/>
              </w:rPr>
            </w:pPr>
            <w:r w:rsidRPr="00133CE4">
              <w:rPr>
                <w:rFonts w:asciiTheme="minorHAnsi" w:hAnsiTheme="minorHAnsi"/>
                <w:color w:val="000000" w:themeColor="text1"/>
                <w:sz w:val="18"/>
                <w:szCs w:val="20"/>
              </w:rPr>
              <w:t>JP Morgan</w:t>
            </w:r>
          </w:p>
          <w:p w14:paraId="50FF0F4E" w14:textId="1CC004F1" w:rsidR="002E34EF" w:rsidRPr="00133CE4" w:rsidRDefault="002E34EF" w:rsidP="002E34EF">
            <w:pPr>
              <w:pStyle w:val="RMbody"/>
              <w:jc w:val="right"/>
              <w:rPr>
                <w:rFonts w:asciiTheme="minorHAnsi" w:hAnsiTheme="minorHAnsi"/>
                <w:color w:val="000000" w:themeColor="text1"/>
                <w:sz w:val="18"/>
                <w:szCs w:val="20"/>
              </w:rPr>
            </w:pPr>
            <w:r w:rsidRPr="00133CE4">
              <w:rPr>
                <w:rFonts w:asciiTheme="minorHAnsi" w:hAnsiTheme="minorHAnsi"/>
                <w:color w:val="000000" w:themeColor="text1"/>
                <w:sz w:val="18"/>
                <w:szCs w:val="20"/>
              </w:rPr>
              <w:t>Europe Equity Absolute Alpha Fund</w:t>
            </w:r>
          </w:p>
        </w:tc>
        <w:tc>
          <w:tcPr>
            <w:tcW w:w="1415" w:type="dxa"/>
            <w:tcBorders>
              <w:bottom w:val="single" w:sz="4" w:space="0" w:color="auto"/>
            </w:tcBorders>
          </w:tcPr>
          <w:p w14:paraId="63FAFD79" w14:textId="77777777" w:rsidR="002E34EF" w:rsidRPr="00133CE4" w:rsidRDefault="002E34EF" w:rsidP="00AA3509">
            <w:pPr>
              <w:pStyle w:val="RMbody"/>
              <w:jc w:val="right"/>
              <w:rPr>
                <w:rFonts w:asciiTheme="minorHAnsi" w:hAnsiTheme="minorHAnsi"/>
                <w:color w:val="000000" w:themeColor="text1"/>
                <w:sz w:val="18"/>
                <w:szCs w:val="20"/>
              </w:rPr>
            </w:pPr>
            <w:r w:rsidRPr="00133CE4">
              <w:rPr>
                <w:rFonts w:asciiTheme="minorHAnsi" w:hAnsiTheme="minorHAnsi"/>
                <w:color w:val="000000" w:themeColor="text1"/>
                <w:sz w:val="18"/>
                <w:szCs w:val="20"/>
              </w:rPr>
              <w:t>BlackRock</w:t>
            </w:r>
          </w:p>
          <w:p w14:paraId="2EDAF881" w14:textId="77777777" w:rsidR="002E34EF" w:rsidRPr="00133CE4" w:rsidRDefault="002E34EF" w:rsidP="00AA3509">
            <w:pPr>
              <w:pStyle w:val="RMbody"/>
              <w:jc w:val="right"/>
              <w:rPr>
                <w:rFonts w:asciiTheme="minorHAnsi" w:hAnsiTheme="minorHAnsi"/>
                <w:color w:val="000000" w:themeColor="text1"/>
                <w:sz w:val="18"/>
                <w:szCs w:val="20"/>
              </w:rPr>
            </w:pPr>
            <w:r w:rsidRPr="00133CE4">
              <w:rPr>
                <w:rFonts w:asciiTheme="minorHAnsi" w:hAnsiTheme="minorHAnsi"/>
                <w:color w:val="000000" w:themeColor="text1"/>
                <w:sz w:val="18"/>
                <w:szCs w:val="20"/>
              </w:rPr>
              <w:t>Systematic Total Alpha Fund</w:t>
            </w:r>
          </w:p>
        </w:tc>
      </w:tr>
      <w:tr w:rsidR="002E34EF" w:rsidRPr="00133CE4" w14:paraId="7D5741A3" w14:textId="77777777" w:rsidTr="002E34EF">
        <w:trPr>
          <w:trHeight w:val="344"/>
        </w:trPr>
        <w:tc>
          <w:tcPr>
            <w:tcW w:w="2663" w:type="dxa"/>
            <w:tcBorders>
              <w:top w:val="single" w:sz="4" w:space="0" w:color="auto"/>
              <w:left w:val="nil"/>
              <w:bottom w:val="single" w:sz="4" w:space="0" w:color="auto"/>
              <w:right w:val="nil"/>
            </w:tcBorders>
            <w:vAlign w:val="top"/>
          </w:tcPr>
          <w:p w14:paraId="7DBB1635" w14:textId="7D758084" w:rsidR="002E34EF" w:rsidRPr="00133CE4" w:rsidRDefault="002E34EF" w:rsidP="0061033A">
            <w:pPr>
              <w:pStyle w:val="BodytextRegular"/>
              <w:rPr>
                <w:rFonts w:cstheme="minorHAnsi"/>
                <w:szCs w:val="18"/>
              </w:rPr>
            </w:pPr>
            <w:r w:rsidRPr="00133CE4">
              <w:rPr>
                <w:rFonts w:cstheme="minorHAnsi"/>
                <w:szCs w:val="18"/>
              </w:rPr>
              <w:t>Total meetings eligible to vote</w:t>
            </w:r>
          </w:p>
        </w:tc>
        <w:tc>
          <w:tcPr>
            <w:tcW w:w="1400" w:type="dxa"/>
            <w:tcBorders>
              <w:top w:val="single" w:sz="4" w:space="0" w:color="auto"/>
              <w:left w:val="nil"/>
              <w:bottom w:val="single" w:sz="4" w:space="0" w:color="auto"/>
              <w:right w:val="nil"/>
            </w:tcBorders>
          </w:tcPr>
          <w:p w14:paraId="0D4FEFFC" w14:textId="3447F889" w:rsidR="002E34EF" w:rsidRPr="00133CE4" w:rsidRDefault="002E34EF" w:rsidP="0061033A">
            <w:pPr>
              <w:pStyle w:val="BodytextRegular"/>
              <w:jc w:val="center"/>
            </w:pPr>
            <w:r w:rsidRPr="00133CE4">
              <w:rPr>
                <w:rFonts w:cstheme="minorHAnsi"/>
                <w:szCs w:val="18"/>
              </w:rPr>
              <w:t>171</w:t>
            </w:r>
          </w:p>
        </w:tc>
        <w:tc>
          <w:tcPr>
            <w:tcW w:w="1822" w:type="dxa"/>
            <w:tcBorders>
              <w:top w:val="single" w:sz="4" w:space="0" w:color="auto"/>
              <w:left w:val="nil"/>
              <w:bottom w:val="single" w:sz="4" w:space="0" w:color="auto"/>
              <w:right w:val="nil"/>
            </w:tcBorders>
          </w:tcPr>
          <w:p w14:paraId="4EB64C6B" w14:textId="346791CD" w:rsidR="002E34EF" w:rsidRPr="00133CE4" w:rsidRDefault="002E34EF" w:rsidP="0061033A">
            <w:pPr>
              <w:pStyle w:val="BodytextRegular"/>
              <w:jc w:val="center"/>
            </w:pPr>
            <w:r w:rsidRPr="00133CE4">
              <w:rPr>
                <w:rFonts w:cstheme="minorHAnsi"/>
                <w:szCs w:val="18"/>
              </w:rPr>
              <w:t>171</w:t>
            </w:r>
          </w:p>
        </w:tc>
        <w:tc>
          <w:tcPr>
            <w:tcW w:w="1120" w:type="dxa"/>
            <w:tcBorders>
              <w:top w:val="single" w:sz="4" w:space="0" w:color="auto"/>
              <w:left w:val="nil"/>
              <w:bottom w:val="single" w:sz="4" w:space="0" w:color="auto"/>
              <w:right w:val="nil"/>
            </w:tcBorders>
          </w:tcPr>
          <w:p w14:paraId="58E25616" w14:textId="264C7347" w:rsidR="002E34EF" w:rsidRPr="00133CE4" w:rsidRDefault="002E34EF" w:rsidP="0061033A">
            <w:pPr>
              <w:pStyle w:val="BodytextRegular"/>
              <w:jc w:val="center"/>
              <w:rPr>
                <w:rFonts w:cstheme="minorHAnsi"/>
                <w:szCs w:val="18"/>
              </w:rPr>
            </w:pPr>
            <w:r w:rsidRPr="00133CE4">
              <w:t>449</w:t>
            </w:r>
          </w:p>
        </w:tc>
        <w:tc>
          <w:tcPr>
            <w:tcW w:w="1400" w:type="dxa"/>
            <w:tcBorders>
              <w:top w:val="single" w:sz="4" w:space="0" w:color="auto"/>
              <w:left w:val="nil"/>
              <w:bottom w:val="single" w:sz="4" w:space="0" w:color="auto"/>
              <w:right w:val="nil"/>
            </w:tcBorders>
          </w:tcPr>
          <w:p w14:paraId="7E0D6434" w14:textId="3E14D8F0" w:rsidR="002E34EF" w:rsidRPr="00133CE4" w:rsidRDefault="002E34EF" w:rsidP="0061033A">
            <w:pPr>
              <w:pStyle w:val="BodytextRegular"/>
              <w:jc w:val="center"/>
            </w:pPr>
            <w:r w:rsidRPr="00133CE4">
              <w:t>175</w:t>
            </w:r>
          </w:p>
        </w:tc>
        <w:tc>
          <w:tcPr>
            <w:tcW w:w="1415" w:type="dxa"/>
            <w:tcBorders>
              <w:top w:val="single" w:sz="4" w:space="0" w:color="auto"/>
              <w:left w:val="nil"/>
              <w:bottom w:val="single" w:sz="4" w:space="0" w:color="auto"/>
              <w:right w:val="nil"/>
            </w:tcBorders>
          </w:tcPr>
          <w:p w14:paraId="62CA1367" w14:textId="06600F4D" w:rsidR="002E34EF" w:rsidRPr="00133CE4" w:rsidRDefault="002E34EF" w:rsidP="0061033A">
            <w:pPr>
              <w:pStyle w:val="BodytextRegular"/>
              <w:jc w:val="center"/>
              <w:rPr>
                <w:rFonts w:cstheme="minorHAnsi"/>
                <w:szCs w:val="18"/>
              </w:rPr>
            </w:pPr>
            <w:r w:rsidRPr="00133CE4">
              <w:rPr>
                <w:rFonts w:cstheme="minorHAnsi"/>
                <w:szCs w:val="18"/>
              </w:rPr>
              <w:t>1,852</w:t>
            </w:r>
          </w:p>
        </w:tc>
      </w:tr>
      <w:tr w:rsidR="002E34EF" w:rsidRPr="00133CE4" w14:paraId="443BCEBD" w14:textId="77777777" w:rsidTr="002E34EF">
        <w:trPr>
          <w:trHeight w:val="477"/>
        </w:trPr>
        <w:tc>
          <w:tcPr>
            <w:tcW w:w="2663" w:type="dxa"/>
            <w:tcBorders>
              <w:top w:val="single" w:sz="4" w:space="0" w:color="auto"/>
              <w:left w:val="nil"/>
              <w:bottom w:val="single" w:sz="4" w:space="0" w:color="auto"/>
              <w:right w:val="nil"/>
            </w:tcBorders>
            <w:vAlign w:val="top"/>
          </w:tcPr>
          <w:p w14:paraId="3CC280E3" w14:textId="77777777" w:rsidR="002E34EF" w:rsidRPr="00133CE4" w:rsidRDefault="002E34EF" w:rsidP="00AA3509">
            <w:pPr>
              <w:pStyle w:val="BodytextRegular"/>
            </w:pPr>
            <w:r w:rsidRPr="00133CE4">
              <w:rPr>
                <w:rFonts w:cstheme="minorHAnsi"/>
                <w:szCs w:val="18"/>
              </w:rPr>
              <w:t>Total resolutions eligible to vote</w:t>
            </w:r>
          </w:p>
        </w:tc>
        <w:tc>
          <w:tcPr>
            <w:tcW w:w="1400" w:type="dxa"/>
            <w:tcBorders>
              <w:top w:val="single" w:sz="4" w:space="0" w:color="auto"/>
              <w:left w:val="nil"/>
              <w:bottom w:val="single" w:sz="4" w:space="0" w:color="auto"/>
              <w:right w:val="nil"/>
            </w:tcBorders>
          </w:tcPr>
          <w:p w14:paraId="0CD74D60" w14:textId="77777777" w:rsidR="002E34EF" w:rsidRPr="00133CE4" w:rsidRDefault="002E34EF" w:rsidP="00452BB6">
            <w:pPr>
              <w:pStyle w:val="BodytextRegular"/>
              <w:jc w:val="center"/>
            </w:pPr>
            <w:r w:rsidRPr="00133CE4">
              <w:t>4,769</w:t>
            </w:r>
          </w:p>
        </w:tc>
        <w:tc>
          <w:tcPr>
            <w:tcW w:w="1822" w:type="dxa"/>
            <w:tcBorders>
              <w:top w:val="single" w:sz="4" w:space="0" w:color="auto"/>
              <w:left w:val="nil"/>
              <w:bottom w:val="single" w:sz="4" w:space="0" w:color="auto"/>
              <w:right w:val="nil"/>
            </w:tcBorders>
          </w:tcPr>
          <w:p w14:paraId="3AC0053C" w14:textId="315AAD8C" w:rsidR="002E34EF" w:rsidRPr="00133CE4" w:rsidRDefault="002E34EF" w:rsidP="00452BB6">
            <w:pPr>
              <w:pStyle w:val="BodytextRegular"/>
              <w:jc w:val="center"/>
            </w:pPr>
            <w:r w:rsidRPr="00133CE4">
              <w:t>2,490</w:t>
            </w:r>
          </w:p>
        </w:tc>
        <w:tc>
          <w:tcPr>
            <w:tcW w:w="1120" w:type="dxa"/>
            <w:tcBorders>
              <w:top w:val="single" w:sz="4" w:space="0" w:color="auto"/>
              <w:left w:val="nil"/>
              <w:bottom w:val="single" w:sz="4" w:space="0" w:color="auto"/>
              <w:right w:val="nil"/>
            </w:tcBorders>
          </w:tcPr>
          <w:p w14:paraId="50FA354C" w14:textId="108B33AB" w:rsidR="002E34EF" w:rsidRPr="00133CE4" w:rsidRDefault="002E34EF" w:rsidP="00452BB6">
            <w:pPr>
              <w:pStyle w:val="BodytextRegular"/>
              <w:jc w:val="center"/>
            </w:pPr>
            <w:r w:rsidRPr="00133CE4">
              <w:rPr>
                <w:rFonts w:cstheme="minorHAnsi"/>
                <w:szCs w:val="18"/>
              </w:rPr>
              <w:t>Data not provided</w:t>
            </w:r>
          </w:p>
        </w:tc>
        <w:tc>
          <w:tcPr>
            <w:tcW w:w="1400" w:type="dxa"/>
            <w:tcBorders>
              <w:top w:val="single" w:sz="4" w:space="0" w:color="auto"/>
              <w:left w:val="nil"/>
              <w:bottom w:val="single" w:sz="4" w:space="0" w:color="auto"/>
              <w:right w:val="nil"/>
            </w:tcBorders>
          </w:tcPr>
          <w:p w14:paraId="29DB8D23" w14:textId="77777777" w:rsidR="002E34EF" w:rsidRPr="00133CE4" w:rsidRDefault="002E34EF" w:rsidP="00452BB6">
            <w:pPr>
              <w:pStyle w:val="BodytextRegular"/>
              <w:jc w:val="center"/>
            </w:pPr>
            <w:r w:rsidRPr="00133CE4">
              <w:t>3,034</w:t>
            </w:r>
          </w:p>
        </w:tc>
        <w:tc>
          <w:tcPr>
            <w:tcW w:w="1415" w:type="dxa"/>
            <w:tcBorders>
              <w:top w:val="single" w:sz="4" w:space="0" w:color="auto"/>
              <w:left w:val="nil"/>
              <w:bottom w:val="single" w:sz="4" w:space="0" w:color="auto"/>
              <w:right w:val="nil"/>
            </w:tcBorders>
          </w:tcPr>
          <w:p w14:paraId="66C23A19" w14:textId="77777777" w:rsidR="002E34EF" w:rsidRPr="00133CE4" w:rsidRDefault="002E34EF" w:rsidP="00452BB6">
            <w:pPr>
              <w:pStyle w:val="BodytextRegular"/>
              <w:jc w:val="center"/>
              <w:rPr>
                <w:rFonts w:cstheme="minorHAnsi"/>
                <w:szCs w:val="18"/>
              </w:rPr>
            </w:pPr>
            <w:r w:rsidRPr="00133CE4">
              <w:rPr>
                <w:rFonts w:cstheme="minorHAnsi"/>
                <w:szCs w:val="18"/>
              </w:rPr>
              <w:t>17,375</w:t>
            </w:r>
          </w:p>
        </w:tc>
      </w:tr>
      <w:tr w:rsidR="002E34EF" w:rsidRPr="00133CE4" w14:paraId="3A8B24F2" w14:textId="77777777" w:rsidTr="002E34EF">
        <w:trPr>
          <w:trHeight w:val="730"/>
        </w:trPr>
        <w:tc>
          <w:tcPr>
            <w:tcW w:w="2663" w:type="dxa"/>
            <w:tcBorders>
              <w:top w:val="single" w:sz="4" w:space="0" w:color="auto"/>
              <w:left w:val="nil"/>
              <w:bottom w:val="single" w:sz="4" w:space="0" w:color="auto"/>
              <w:right w:val="nil"/>
            </w:tcBorders>
            <w:vAlign w:val="top"/>
          </w:tcPr>
          <w:p w14:paraId="4576F397" w14:textId="77777777" w:rsidR="002E34EF" w:rsidRPr="00133CE4" w:rsidRDefault="002E34EF" w:rsidP="00AA3509">
            <w:pPr>
              <w:pStyle w:val="BodytextRegular"/>
            </w:pPr>
            <w:r w:rsidRPr="00133CE4">
              <w:rPr>
                <w:rFonts w:cstheme="minorHAnsi"/>
                <w:szCs w:val="18"/>
              </w:rPr>
              <w:t xml:space="preserve">Of resolutions eligible to vote, % of resolutions voted on </w:t>
            </w:r>
          </w:p>
        </w:tc>
        <w:tc>
          <w:tcPr>
            <w:tcW w:w="1400" w:type="dxa"/>
            <w:tcBorders>
              <w:top w:val="single" w:sz="4" w:space="0" w:color="auto"/>
              <w:left w:val="nil"/>
              <w:bottom w:val="single" w:sz="4" w:space="0" w:color="auto"/>
              <w:right w:val="nil"/>
            </w:tcBorders>
          </w:tcPr>
          <w:p w14:paraId="7F6BB3E7" w14:textId="61EA7DA3" w:rsidR="002E34EF" w:rsidRPr="00133CE4" w:rsidRDefault="002E34EF" w:rsidP="00452BB6">
            <w:pPr>
              <w:pStyle w:val="BodytextRegular"/>
              <w:jc w:val="center"/>
            </w:pPr>
            <w:r w:rsidRPr="00133CE4">
              <w:t>100%</w:t>
            </w:r>
          </w:p>
        </w:tc>
        <w:tc>
          <w:tcPr>
            <w:tcW w:w="1822" w:type="dxa"/>
            <w:tcBorders>
              <w:top w:val="single" w:sz="4" w:space="0" w:color="auto"/>
              <w:left w:val="nil"/>
              <w:bottom w:val="single" w:sz="4" w:space="0" w:color="auto"/>
              <w:right w:val="nil"/>
            </w:tcBorders>
          </w:tcPr>
          <w:p w14:paraId="61E1B321" w14:textId="15F4BC61" w:rsidR="002E34EF" w:rsidRPr="00133CE4" w:rsidRDefault="002E34EF" w:rsidP="00452BB6">
            <w:pPr>
              <w:pStyle w:val="BodytextRegular"/>
              <w:jc w:val="center"/>
            </w:pPr>
            <w:r w:rsidRPr="00133CE4">
              <w:t>100%</w:t>
            </w:r>
          </w:p>
        </w:tc>
        <w:tc>
          <w:tcPr>
            <w:tcW w:w="1120" w:type="dxa"/>
            <w:tcBorders>
              <w:top w:val="single" w:sz="4" w:space="0" w:color="auto"/>
              <w:left w:val="nil"/>
              <w:bottom w:val="single" w:sz="4" w:space="0" w:color="auto"/>
              <w:right w:val="nil"/>
            </w:tcBorders>
          </w:tcPr>
          <w:p w14:paraId="217D2E83" w14:textId="77777777" w:rsidR="002E34EF" w:rsidRPr="00133CE4" w:rsidRDefault="002E34EF" w:rsidP="00452BB6">
            <w:pPr>
              <w:pStyle w:val="BodytextRegular"/>
              <w:jc w:val="center"/>
            </w:pPr>
            <w:r w:rsidRPr="00133CE4">
              <w:rPr>
                <w:rFonts w:cstheme="minorHAnsi"/>
                <w:szCs w:val="18"/>
              </w:rPr>
              <w:t>100%</w:t>
            </w:r>
          </w:p>
        </w:tc>
        <w:tc>
          <w:tcPr>
            <w:tcW w:w="1400" w:type="dxa"/>
            <w:tcBorders>
              <w:top w:val="single" w:sz="4" w:space="0" w:color="auto"/>
              <w:left w:val="nil"/>
              <w:bottom w:val="single" w:sz="4" w:space="0" w:color="auto"/>
              <w:right w:val="nil"/>
            </w:tcBorders>
          </w:tcPr>
          <w:p w14:paraId="5A6E16E7" w14:textId="2B78489E" w:rsidR="002E34EF" w:rsidRPr="00133CE4" w:rsidRDefault="002E34EF" w:rsidP="00452BB6">
            <w:pPr>
              <w:pStyle w:val="BodytextRegular"/>
              <w:jc w:val="center"/>
            </w:pPr>
            <w:r w:rsidRPr="00133CE4">
              <w:t>98%</w:t>
            </w:r>
          </w:p>
        </w:tc>
        <w:tc>
          <w:tcPr>
            <w:tcW w:w="1415" w:type="dxa"/>
            <w:tcBorders>
              <w:top w:val="single" w:sz="4" w:space="0" w:color="auto"/>
              <w:left w:val="nil"/>
              <w:bottom w:val="single" w:sz="4" w:space="0" w:color="auto"/>
              <w:right w:val="nil"/>
            </w:tcBorders>
          </w:tcPr>
          <w:p w14:paraId="4C71886A" w14:textId="77777777" w:rsidR="002E34EF" w:rsidRPr="00133CE4" w:rsidRDefault="002E34EF" w:rsidP="00452BB6">
            <w:pPr>
              <w:pStyle w:val="BodytextRegular"/>
              <w:jc w:val="center"/>
              <w:rPr>
                <w:rFonts w:cstheme="minorHAnsi"/>
                <w:szCs w:val="18"/>
              </w:rPr>
            </w:pPr>
            <w:r w:rsidRPr="00133CE4">
              <w:rPr>
                <w:rFonts w:cstheme="minorHAnsi"/>
                <w:szCs w:val="18"/>
              </w:rPr>
              <w:t>94%</w:t>
            </w:r>
          </w:p>
        </w:tc>
      </w:tr>
      <w:tr w:rsidR="002E34EF" w:rsidRPr="00133CE4" w14:paraId="565C36FB" w14:textId="77777777" w:rsidTr="002E34EF">
        <w:trPr>
          <w:trHeight w:val="603"/>
        </w:trPr>
        <w:tc>
          <w:tcPr>
            <w:tcW w:w="2663" w:type="dxa"/>
            <w:tcBorders>
              <w:top w:val="single" w:sz="4" w:space="0" w:color="auto"/>
              <w:left w:val="nil"/>
              <w:bottom w:val="single" w:sz="4" w:space="0" w:color="auto"/>
              <w:right w:val="nil"/>
            </w:tcBorders>
            <w:vAlign w:val="top"/>
          </w:tcPr>
          <w:p w14:paraId="07153AF9" w14:textId="77777777" w:rsidR="002E34EF" w:rsidRPr="00133CE4" w:rsidRDefault="002E34EF" w:rsidP="00AA3509">
            <w:pPr>
              <w:pStyle w:val="BodytextRegular"/>
            </w:pPr>
            <w:r w:rsidRPr="00133CE4">
              <w:rPr>
                <w:rFonts w:cstheme="minorHAnsi"/>
                <w:szCs w:val="18"/>
              </w:rPr>
              <w:t xml:space="preserve">Of voted resolutions, % vote with management </w:t>
            </w:r>
          </w:p>
        </w:tc>
        <w:tc>
          <w:tcPr>
            <w:tcW w:w="1400" w:type="dxa"/>
            <w:tcBorders>
              <w:top w:val="single" w:sz="4" w:space="0" w:color="auto"/>
              <w:left w:val="nil"/>
              <w:bottom w:val="single" w:sz="4" w:space="0" w:color="auto"/>
              <w:right w:val="nil"/>
            </w:tcBorders>
          </w:tcPr>
          <w:p w14:paraId="54841AE1" w14:textId="77777777" w:rsidR="002E34EF" w:rsidRPr="00133CE4" w:rsidRDefault="002E34EF" w:rsidP="00452BB6">
            <w:pPr>
              <w:pStyle w:val="BodytextRegular"/>
              <w:jc w:val="center"/>
              <w:rPr>
                <w:rFonts w:cstheme="minorHAnsi"/>
                <w:szCs w:val="18"/>
              </w:rPr>
            </w:pPr>
            <w:r w:rsidRPr="00133CE4">
              <w:rPr>
                <w:rFonts w:cstheme="minorHAnsi"/>
                <w:szCs w:val="18"/>
              </w:rPr>
              <w:t>80%</w:t>
            </w:r>
          </w:p>
        </w:tc>
        <w:tc>
          <w:tcPr>
            <w:tcW w:w="1822" w:type="dxa"/>
            <w:tcBorders>
              <w:top w:val="single" w:sz="4" w:space="0" w:color="auto"/>
              <w:left w:val="nil"/>
              <w:bottom w:val="single" w:sz="4" w:space="0" w:color="auto"/>
              <w:right w:val="nil"/>
            </w:tcBorders>
          </w:tcPr>
          <w:p w14:paraId="6B07FAF5" w14:textId="77777777" w:rsidR="002E34EF" w:rsidRPr="00133CE4" w:rsidRDefault="002E34EF" w:rsidP="00452BB6">
            <w:pPr>
              <w:pStyle w:val="BodytextRegular"/>
              <w:jc w:val="center"/>
            </w:pPr>
            <w:r w:rsidRPr="00133CE4">
              <w:t>60%</w:t>
            </w:r>
          </w:p>
        </w:tc>
        <w:tc>
          <w:tcPr>
            <w:tcW w:w="1120" w:type="dxa"/>
            <w:tcBorders>
              <w:top w:val="single" w:sz="4" w:space="0" w:color="auto"/>
              <w:left w:val="nil"/>
              <w:bottom w:val="single" w:sz="4" w:space="0" w:color="auto"/>
              <w:right w:val="nil"/>
            </w:tcBorders>
          </w:tcPr>
          <w:p w14:paraId="4F8E0EBA" w14:textId="77777777" w:rsidR="002E34EF" w:rsidRPr="00133CE4" w:rsidRDefault="002E34EF" w:rsidP="00452BB6">
            <w:pPr>
              <w:pStyle w:val="BodytextRegular"/>
              <w:jc w:val="center"/>
            </w:pPr>
            <w:r w:rsidRPr="00133CE4">
              <w:rPr>
                <w:rFonts w:cstheme="minorHAnsi"/>
                <w:szCs w:val="18"/>
              </w:rPr>
              <w:t>100%</w:t>
            </w:r>
          </w:p>
        </w:tc>
        <w:tc>
          <w:tcPr>
            <w:tcW w:w="1400" w:type="dxa"/>
            <w:tcBorders>
              <w:top w:val="single" w:sz="4" w:space="0" w:color="auto"/>
              <w:left w:val="nil"/>
              <w:bottom w:val="single" w:sz="4" w:space="0" w:color="auto"/>
              <w:right w:val="nil"/>
            </w:tcBorders>
          </w:tcPr>
          <w:p w14:paraId="17D7C60C" w14:textId="08D57628" w:rsidR="002E34EF" w:rsidRPr="00133CE4" w:rsidRDefault="002E34EF" w:rsidP="00452BB6">
            <w:pPr>
              <w:pStyle w:val="BodytextRegular"/>
              <w:jc w:val="center"/>
            </w:pPr>
            <w:r w:rsidRPr="00133CE4">
              <w:t>96%</w:t>
            </w:r>
          </w:p>
        </w:tc>
        <w:tc>
          <w:tcPr>
            <w:tcW w:w="1415" w:type="dxa"/>
            <w:tcBorders>
              <w:top w:val="single" w:sz="4" w:space="0" w:color="auto"/>
              <w:left w:val="nil"/>
              <w:bottom w:val="single" w:sz="4" w:space="0" w:color="auto"/>
              <w:right w:val="nil"/>
            </w:tcBorders>
          </w:tcPr>
          <w:p w14:paraId="4BD570FB" w14:textId="53EC5512" w:rsidR="002E34EF" w:rsidRPr="00133CE4" w:rsidRDefault="002E34EF" w:rsidP="00452BB6">
            <w:pPr>
              <w:pStyle w:val="BodytextRegular"/>
              <w:jc w:val="center"/>
              <w:rPr>
                <w:rFonts w:cstheme="minorHAnsi"/>
                <w:szCs w:val="18"/>
              </w:rPr>
            </w:pPr>
            <w:r w:rsidRPr="00133CE4">
              <w:rPr>
                <w:rFonts w:cstheme="minorHAnsi"/>
                <w:szCs w:val="18"/>
              </w:rPr>
              <w:t>93%</w:t>
            </w:r>
          </w:p>
        </w:tc>
      </w:tr>
      <w:tr w:rsidR="002E34EF" w:rsidRPr="00133CE4" w14:paraId="0F4D9237" w14:textId="77777777" w:rsidTr="002E34EF">
        <w:trPr>
          <w:trHeight w:val="603"/>
        </w:trPr>
        <w:tc>
          <w:tcPr>
            <w:tcW w:w="2663" w:type="dxa"/>
            <w:tcBorders>
              <w:top w:val="single" w:sz="4" w:space="0" w:color="auto"/>
              <w:left w:val="nil"/>
              <w:bottom w:val="single" w:sz="4" w:space="0" w:color="auto"/>
              <w:right w:val="nil"/>
            </w:tcBorders>
            <w:vAlign w:val="top"/>
          </w:tcPr>
          <w:p w14:paraId="2AB6274F" w14:textId="77777777" w:rsidR="002E34EF" w:rsidRPr="00133CE4" w:rsidRDefault="002E34EF" w:rsidP="00AA3509">
            <w:pPr>
              <w:pStyle w:val="BodytextRegular"/>
            </w:pPr>
            <w:r w:rsidRPr="00133CE4">
              <w:rPr>
                <w:rFonts w:cstheme="minorHAnsi"/>
                <w:szCs w:val="18"/>
              </w:rPr>
              <w:t>Of voted resolutions, % vote against management</w:t>
            </w:r>
          </w:p>
        </w:tc>
        <w:tc>
          <w:tcPr>
            <w:tcW w:w="1400" w:type="dxa"/>
            <w:tcBorders>
              <w:top w:val="single" w:sz="4" w:space="0" w:color="auto"/>
              <w:left w:val="nil"/>
              <w:bottom w:val="single" w:sz="4" w:space="0" w:color="auto"/>
              <w:right w:val="nil"/>
            </w:tcBorders>
          </w:tcPr>
          <w:p w14:paraId="290EB94C" w14:textId="77777777" w:rsidR="002E34EF" w:rsidRPr="00133CE4" w:rsidRDefault="002E34EF" w:rsidP="00452BB6">
            <w:pPr>
              <w:pStyle w:val="BodytextRegular"/>
              <w:jc w:val="center"/>
            </w:pPr>
            <w:r w:rsidRPr="00133CE4">
              <w:t>6%</w:t>
            </w:r>
          </w:p>
        </w:tc>
        <w:tc>
          <w:tcPr>
            <w:tcW w:w="1822" w:type="dxa"/>
            <w:tcBorders>
              <w:top w:val="single" w:sz="4" w:space="0" w:color="auto"/>
              <w:left w:val="nil"/>
              <w:bottom w:val="single" w:sz="4" w:space="0" w:color="auto"/>
              <w:right w:val="nil"/>
            </w:tcBorders>
          </w:tcPr>
          <w:p w14:paraId="34E769E8" w14:textId="77777777" w:rsidR="002E34EF" w:rsidRPr="00133CE4" w:rsidRDefault="002E34EF" w:rsidP="00452BB6">
            <w:pPr>
              <w:pStyle w:val="BodytextRegular"/>
              <w:jc w:val="center"/>
            </w:pPr>
            <w:r w:rsidRPr="00133CE4">
              <w:t>5%</w:t>
            </w:r>
          </w:p>
        </w:tc>
        <w:tc>
          <w:tcPr>
            <w:tcW w:w="1120" w:type="dxa"/>
            <w:tcBorders>
              <w:top w:val="single" w:sz="4" w:space="0" w:color="auto"/>
              <w:left w:val="nil"/>
              <w:bottom w:val="single" w:sz="4" w:space="0" w:color="auto"/>
              <w:right w:val="nil"/>
            </w:tcBorders>
          </w:tcPr>
          <w:p w14:paraId="467E28A2" w14:textId="77777777" w:rsidR="002E34EF" w:rsidRPr="00133CE4" w:rsidRDefault="002E34EF" w:rsidP="00452BB6">
            <w:pPr>
              <w:pStyle w:val="BodytextRegular"/>
              <w:jc w:val="center"/>
            </w:pPr>
            <w:r w:rsidRPr="00133CE4">
              <w:rPr>
                <w:rFonts w:cstheme="minorHAnsi"/>
                <w:szCs w:val="18"/>
              </w:rPr>
              <w:t>0%</w:t>
            </w:r>
          </w:p>
        </w:tc>
        <w:tc>
          <w:tcPr>
            <w:tcW w:w="1400" w:type="dxa"/>
            <w:tcBorders>
              <w:top w:val="single" w:sz="4" w:space="0" w:color="auto"/>
              <w:left w:val="nil"/>
              <w:bottom w:val="single" w:sz="4" w:space="0" w:color="auto"/>
              <w:right w:val="nil"/>
            </w:tcBorders>
          </w:tcPr>
          <w:p w14:paraId="70E998BA" w14:textId="77777777" w:rsidR="002E34EF" w:rsidRPr="00133CE4" w:rsidRDefault="002E34EF" w:rsidP="00452BB6">
            <w:pPr>
              <w:pStyle w:val="BodytextRegular"/>
              <w:jc w:val="center"/>
            </w:pPr>
            <w:r w:rsidRPr="00133CE4">
              <w:t>4%</w:t>
            </w:r>
          </w:p>
        </w:tc>
        <w:tc>
          <w:tcPr>
            <w:tcW w:w="1415" w:type="dxa"/>
            <w:tcBorders>
              <w:top w:val="single" w:sz="4" w:space="0" w:color="auto"/>
              <w:left w:val="nil"/>
              <w:bottom w:val="single" w:sz="4" w:space="0" w:color="auto"/>
              <w:right w:val="nil"/>
            </w:tcBorders>
          </w:tcPr>
          <w:p w14:paraId="4C951B85" w14:textId="77777777" w:rsidR="002E34EF" w:rsidRPr="00133CE4" w:rsidRDefault="002E34EF" w:rsidP="00452BB6">
            <w:pPr>
              <w:pStyle w:val="BodytextRegular"/>
              <w:jc w:val="center"/>
              <w:rPr>
                <w:rFonts w:cstheme="minorHAnsi"/>
                <w:szCs w:val="18"/>
              </w:rPr>
            </w:pPr>
            <w:r w:rsidRPr="00133CE4">
              <w:rPr>
                <w:rFonts w:cstheme="minorHAnsi"/>
                <w:szCs w:val="18"/>
              </w:rPr>
              <w:t>7%</w:t>
            </w:r>
          </w:p>
        </w:tc>
      </w:tr>
      <w:tr w:rsidR="002E34EF" w:rsidRPr="00133CE4" w14:paraId="225555ED" w14:textId="77777777" w:rsidTr="002E34EF">
        <w:trPr>
          <w:trHeight w:val="477"/>
        </w:trPr>
        <w:tc>
          <w:tcPr>
            <w:tcW w:w="2663" w:type="dxa"/>
            <w:tcBorders>
              <w:top w:val="single" w:sz="4" w:space="0" w:color="auto"/>
              <w:left w:val="nil"/>
              <w:bottom w:val="single" w:sz="4" w:space="0" w:color="auto"/>
              <w:right w:val="nil"/>
            </w:tcBorders>
            <w:vAlign w:val="top"/>
          </w:tcPr>
          <w:p w14:paraId="2DEEF3BD" w14:textId="77777777" w:rsidR="002E34EF" w:rsidRPr="00133CE4" w:rsidRDefault="002E34EF" w:rsidP="00AA3509">
            <w:pPr>
              <w:pStyle w:val="BodytextRegular"/>
            </w:pPr>
            <w:r w:rsidRPr="00133CE4">
              <w:rPr>
                <w:rFonts w:cstheme="minorHAnsi"/>
                <w:szCs w:val="18"/>
              </w:rPr>
              <w:t>Of voted resolutions, % abstained</w:t>
            </w:r>
          </w:p>
        </w:tc>
        <w:tc>
          <w:tcPr>
            <w:tcW w:w="1400" w:type="dxa"/>
            <w:tcBorders>
              <w:top w:val="single" w:sz="4" w:space="0" w:color="auto"/>
              <w:left w:val="nil"/>
              <w:bottom w:val="single" w:sz="4" w:space="0" w:color="auto"/>
              <w:right w:val="nil"/>
            </w:tcBorders>
          </w:tcPr>
          <w:p w14:paraId="4309767F" w14:textId="77777777" w:rsidR="002E34EF" w:rsidRPr="00133CE4" w:rsidRDefault="002E34EF" w:rsidP="00452BB6">
            <w:pPr>
              <w:pStyle w:val="BodytextRegular"/>
              <w:jc w:val="center"/>
              <w:rPr>
                <w:rFonts w:cstheme="minorHAnsi"/>
                <w:szCs w:val="18"/>
              </w:rPr>
            </w:pPr>
            <w:r w:rsidRPr="00133CE4">
              <w:rPr>
                <w:rFonts w:cstheme="minorHAnsi"/>
                <w:szCs w:val="18"/>
              </w:rPr>
              <w:t>14%</w:t>
            </w:r>
          </w:p>
        </w:tc>
        <w:tc>
          <w:tcPr>
            <w:tcW w:w="1822" w:type="dxa"/>
            <w:tcBorders>
              <w:top w:val="single" w:sz="4" w:space="0" w:color="auto"/>
              <w:left w:val="nil"/>
              <w:bottom w:val="single" w:sz="4" w:space="0" w:color="auto"/>
              <w:right w:val="nil"/>
            </w:tcBorders>
          </w:tcPr>
          <w:p w14:paraId="5D13C1FF" w14:textId="77777777" w:rsidR="002E34EF" w:rsidRPr="00133CE4" w:rsidRDefault="002E34EF" w:rsidP="00452BB6">
            <w:pPr>
              <w:pStyle w:val="BodytextRegular"/>
              <w:jc w:val="center"/>
            </w:pPr>
            <w:r w:rsidRPr="00133CE4">
              <w:t>35%</w:t>
            </w:r>
          </w:p>
        </w:tc>
        <w:tc>
          <w:tcPr>
            <w:tcW w:w="1120" w:type="dxa"/>
            <w:tcBorders>
              <w:top w:val="single" w:sz="4" w:space="0" w:color="auto"/>
              <w:left w:val="nil"/>
              <w:bottom w:val="single" w:sz="4" w:space="0" w:color="auto"/>
              <w:right w:val="nil"/>
            </w:tcBorders>
          </w:tcPr>
          <w:p w14:paraId="3E050536" w14:textId="77777777" w:rsidR="002E34EF" w:rsidRPr="00133CE4" w:rsidRDefault="002E34EF" w:rsidP="00452BB6">
            <w:pPr>
              <w:pStyle w:val="BodytextRegular"/>
              <w:jc w:val="center"/>
            </w:pPr>
            <w:r w:rsidRPr="00133CE4">
              <w:rPr>
                <w:rFonts w:cstheme="minorHAnsi"/>
                <w:szCs w:val="18"/>
              </w:rPr>
              <w:t>0%</w:t>
            </w:r>
          </w:p>
        </w:tc>
        <w:tc>
          <w:tcPr>
            <w:tcW w:w="1400" w:type="dxa"/>
            <w:tcBorders>
              <w:top w:val="single" w:sz="4" w:space="0" w:color="auto"/>
              <w:left w:val="nil"/>
              <w:bottom w:val="single" w:sz="4" w:space="0" w:color="auto"/>
              <w:right w:val="nil"/>
            </w:tcBorders>
          </w:tcPr>
          <w:p w14:paraId="61A5C0F5" w14:textId="00229209" w:rsidR="002E34EF" w:rsidRPr="00133CE4" w:rsidRDefault="002E34EF" w:rsidP="00452BB6">
            <w:pPr>
              <w:pStyle w:val="BodytextRegular"/>
              <w:jc w:val="center"/>
            </w:pPr>
            <w:r w:rsidRPr="00133CE4">
              <w:rPr>
                <w:rFonts w:cstheme="minorHAnsi"/>
                <w:szCs w:val="18"/>
              </w:rPr>
              <w:t>0%</w:t>
            </w:r>
          </w:p>
        </w:tc>
        <w:tc>
          <w:tcPr>
            <w:tcW w:w="1415" w:type="dxa"/>
            <w:tcBorders>
              <w:top w:val="single" w:sz="4" w:space="0" w:color="auto"/>
              <w:left w:val="nil"/>
              <w:bottom w:val="single" w:sz="4" w:space="0" w:color="auto"/>
              <w:right w:val="nil"/>
            </w:tcBorders>
          </w:tcPr>
          <w:p w14:paraId="2EE856C3" w14:textId="0CB5C76D" w:rsidR="002E34EF" w:rsidRPr="00133CE4" w:rsidRDefault="002E34EF" w:rsidP="00452BB6">
            <w:pPr>
              <w:pStyle w:val="BodytextRegular"/>
              <w:jc w:val="center"/>
              <w:rPr>
                <w:rFonts w:cstheme="minorHAnsi"/>
                <w:szCs w:val="18"/>
              </w:rPr>
            </w:pPr>
            <w:r w:rsidRPr="00133CE4">
              <w:rPr>
                <w:rFonts w:cstheme="minorHAnsi"/>
                <w:szCs w:val="18"/>
              </w:rPr>
              <w:t>0%</w:t>
            </w:r>
          </w:p>
        </w:tc>
      </w:tr>
      <w:tr w:rsidR="002E34EF" w:rsidRPr="00133CE4" w14:paraId="49AA27B4" w14:textId="77777777" w:rsidTr="002E34EF">
        <w:trPr>
          <w:trHeight w:val="1113"/>
        </w:trPr>
        <w:tc>
          <w:tcPr>
            <w:tcW w:w="2663" w:type="dxa"/>
            <w:tcBorders>
              <w:top w:val="single" w:sz="4" w:space="0" w:color="auto"/>
              <w:left w:val="nil"/>
              <w:bottom w:val="single" w:sz="4" w:space="0" w:color="auto"/>
              <w:right w:val="nil"/>
            </w:tcBorders>
            <w:vAlign w:val="top"/>
          </w:tcPr>
          <w:p w14:paraId="3ECE2BD5" w14:textId="77777777" w:rsidR="002E34EF" w:rsidRPr="00133CE4" w:rsidRDefault="002E34EF" w:rsidP="00AA3509">
            <w:pPr>
              <w:pStyle w:val="BodytextRegular"/>
            </w:pPr>
            <w:r w:rsidRPr="00133CE4">
              <w:rPr>
                <w:rFonts w:cstheme="minorHAnsi"/>
                <w:szCs w:val="18"/>
              </w:rPr>
              <w:t>Of voted resolutions, % vote contrary to the recommendation of proxy adviser (if applicable)</w:t>
            </w:r>
          </w:p>
        </w:tc>
        <w:tc>
          <w:tcPr>
            <w:tcW w:w="1400" w:type="dxa"/>
            <w:tcBorders>
              <w:top w:val="single" w:sz="4" w:space="0" w:color="auto"/>
              <w:left w:val="nil"/>
              <w:bottom w:val="single" w:sz="4" w:space="0" w:color="auto"/>
              <w:right w:val="nil"/>
            </w:tcBorders>
          </w:tcPr>
          <w:p w14:paraId="06744FD7" w14:textId="77777777" w:rsidR="002E34EF" w:rsidRPr="00133CE4" w:rsidRDefault="002E34EF" w:rsidP="00452BB6">
            <w:pPr>
              <w:pStyle w:val="BodytextRegular"/>
              <w:jc w:val="center"/>
            </w:pPr>
            <w:r w:rsidRPr="00133CE4">
              <w:t>5%</w:t>
            </w:r>
          </w:p>
        </w:tc>
        <w:tc>
          <w:tcPr>
            <w:tcW w:w="1822" w:type="dxa"/>
            <w:tcBorders>
              <w:top w:val="single" w:sz="4" w:space="0" w:color="auto"/>
              <w:left w:val="nil"/>
              <w:bottom w:val="single" w:sz="4" w:space="0" w:color="auto"/>
              <w:right w:val="nil"/>
            </w:tcBorders>
          </w:tcPr>
          <w:p w14:paraId="3727AD31" w14:textId="77777777" w:rsidR="002E34EF" w:rsidRPr="00133CE4" w:rsidRDefault="002E34EF" w:rsidP="00452BB6">
            <w:pPr>
              <w:pStyle w:val="BodytextRegular"/>
              <w:jc w:val="center"/>
            </w:pPr>
            <w:r w:rsidRPr="00133CE4">
              <w:t>5%</w:t>
            </w:r>
          </w:p>
        </w:tc>
        <w:tc>
          <w:tcPr>
            <w:tcW w:w="1120" w:type="dxa"/>
            <w:tcBorders>
              <w:top w:val="single" w:sz="4" w:space="0" w:color="auto"/>
              <w:left w:val="nil"/>
              <w:bottom w:val="single" w:sz="4" w:space="0" w:color="auto"/>
              <w:right w:val="nil"/>
            </w:tcBorders>
          </w:tcPr>
          <w:p w14:paraId="1DD1B98B" w14:textId="77777777" w:rsidR="002E34EF" w:rsidRPr="00133CE4" w:rsidRDefault="002E34EF" w:rsidP="00452BB6">
            <w:pPr>
              <w:pStyle w:val="BodytextRegular"/>
              <w:jc w:val="center"/>
            </w:pPr>
            <w:r w:rsidRPr="00133CE4">
              <w:rPr>
                <w:rFonts w:cstheme="minorHAnsi"/>
                <w:szCs w:val="18"/>
              </w:rPr>
              <w:t>0%</w:t>
            </w:r>
          </w:p>
        </w:tc>
        <w:tc>
          <w:tcPr>
            <w:tcW w:w="1400" w:type="dxa"/>
            <w:tcBorders>
              <w:top w:val="single" w:sz="4" w:space="0" w:color="auto"/>
              <w:left w:val="nil"/>
              <w:bottom w:val="single" w:sz="4" w:space="0" w:color="auto"/>
              <w:right w:val="nil"/>
            </w:tcBorders>
          </w:tcPr>
          <w:p w14:paraId="11C7D40E" w14:textId="77777777" w:rsidR="002E34EF" w:rsidRPr="00133CE4" w:rsidRDefault="002E34EF" w:rsidP="00452BB6">
            <w:pPr>
              <w:pStyle w:val="BodytextRegular"/>
              <w:jc w:val="center"/>
            </w:pPr>
            <w:r w:rsidRPr="00133CE4">
              <w:t>1%</w:t>
            </w:r>
          </w:p>
        </w:tc>
        <w:tc>
          <w:tcPr>
            <w:tcW w:w="1415" w:type="dxa"/>
            <w:tcBorders>
              <w:top w:val="single" w:sz="4" w:space="0" w:color="auto"/>
              <w:left w:val="nil"/>
              <w:bottom w:val="single" w:sz="4" w:space="0" w:color="auto"/>
              <w:right w:val="nil"/>
            </w:tcBorders>
          </w:tcPr>
          <w:p w14:paraId="3A1EC64C" w14:textId="77777777" w:rsidR="002E34EF" w:rsidRPr="00133CE4" w:rsidRDefault="002E34EF" w:rsidP="00452BB6">
            <w:pPr>
              <w:pStyle w:val="BodytextRegular"/>
              <w:jc w:val="center"/>
              <w:rPr>
                <w:rFonts w:cstheme="minorHAnsi"/>
                <w:szCs w:val="18"/>
              </w:rPr>
            </w:pPr>
            <w:r w:rsidRPr="00133CE4">
              <w:rPr>
                <w:rFonts w:cstheme="minorHAnsi"/>
                <w:szCs w:val="18"/>
              </w:rPr>
              <w:t>0%</w:t>
            </w:r>
          </w:p>
        </w:tc>
      </w:tr>
      <w:tr w:rsidR="002E34EF" w:rsidRPr="00133CE4" w14:paraId="087D05DA" w14:textId="77777777" w:rsidTr="002E34EF">
        <w:trPr>
          <w:trHeight w:val="730"/>
        </w:trPr>
        <w:tc>
          <w:tcPr>
            <w:tcW w:w="2663" w:type="dxa"/>
            <w:tcBorders>
              <w:top w:val="single" w:sz="4" w:space="0" w:color="auto"/>
              <w:left w:val="nil"/>
              <w:bottom w:val="single" w:sz="4" w:space="0" w:color="auto"/>
              <w:right w:val="nil"/>
            </w:tcBorders>
          </w:tcPr>
          <w:p w14:paraId="637D2A83" w14:textId="4BA57E0E" w:rsidR="002E34EF" w:rsidRPr="00133CE4" w:rsidRDefault="002E34EF" w:rsidP="007355C3">
            <w:pPr>
              <w:pStyle w:val="BodytextRegular"/>
              <w:rPr>
                <w:rFonts w:cstheme="minorHAnsi"/>
                <w:szCs w:val="18"/>
              </w:rPr>
            </w:pPr>
            <w:r w:rsidRPr="00133CE4">
              <w:rPr>
                <w:rFonts w:cstheme="minorHAnsi"/>
                <w:szCs w:val="18"/>
              </w:rPr>
              <w:t xml:space="preserve">Proxy voting service provider </w:t>
            </w:r>
          </w:p>
        </w:tc>
        <w:tc>
          <w:tcPr>
            <w:tcW w:w="1400" w:type="dxa"/>
            <w:tcBorders>
              <w:top w:val="single" w:sz="4" w:space="0" w:color="auto"/>
              <w:left w:val="nil"/>
              <w:bottom w:val="single" w:sz="4" w:space="0" w:color="auto"/>
              <w:right w:val="nil"/>
            </w:tcBorders>
          </w:tcPr>
          <w:p w14:paraId="53D4CC0A" w14:textId="3111BD01" w:rsidR="002E34EF" w:rsidRPr="00133CE4" w:rsidRDefault="002E34EF" w:rsidP="002532F4">
            <w:pPr>
              <w:pStyle w:val="BodytextRegular"/>
              <w:jc w:val="center"/>
            </w:pPr>
            <w:r w:rsidRPr="00133CE4">
              <w:rPr>
                <w:rFonts w:cstheme="minorHAnsi"/>
                <w:szCs w:val="18"/>
              </w:rPr>
              <w:t>GL</w:t>
            </w:r>
          </w:p>
        </w:tc>
        <w:tc>
          <w:tcPr>
            <w:tcW w:w="1822" w:type="dxa"/>
            <w:tcBorders>
              <w:top w:val="single" w:sz="4" w:space="0" w:color="auto"/>
              <w:left w:val="nil"/>
              <w:bottom w:val="single" w:sz="4" w:space="0" w:color="auto"/>
              <w:right w:val="nil"/>
            </w:tcBorders>
          </w:tcPr>
          <w:p w14:paraId="25A47D6B" w14:textId="108C8E15" w:rsidR="002E34EF" w:rsidRPr="00133CE4" w:rsidRDefault="002E34EF" w:rsidP="002532F4">
            <w:pPr>
              <w:pStyle w:val="BodytextRegular"/>
              <w:jc w:val="center"/>
            </w:pPr>
            <w:r w:rsidRPr="00133CE4">
              <w:rPr>
                <w:rFonts w:cstheme="minorHAnsi"/>
                <w:szCs w:val="18"/>
              </w:rPr>
              <w:t>GL</w:t>
            </w:r>
          </w:p>
        </w:tc>
        <w:tc>
          <w:tcPr>
            <w:tcW w:w="1120" w:type="dxa"/>
            <w:tcBorders>
              <w:top w:val="single" w:sz="4" w:space="0" w:color="auto"/>
              <w:left w:val="nil"/>
              <w:bottom w:val="single" w:sz="4" w:space="0" w:color="auto"/>
              <w:right w:val="nil"/>
            </w:tcBorders>
          </w:tcPr>
          <w:p w14:paraId="7A1DF649" w14:textId="1D8073C5" w:rsidR="002E34EF" w:rsidRPr="00133CE4" w:rsidRDefault="002E34EF" w:rsidP="002532F4">
            <w:pPr>
              <w:pStyle w:val="BodytextRegular"/>
              <w:jc w:val="center"/>
              <w:rPr>
                <w:rFonts w:cstheme="minorHAnsi"/>
                <w:szCs w:val="18"/>
              </w:rPr>
            </w:pPr>
            <w:r w:rsidRPr="00133CE4">
              <w:rPr>
                <w:rFonts w:cstheme="minorHAnsi"/>
                <w:szCs w:val="18"/>
              </w:rPr>
              <w:t>GL</w:t>
            </w:r>
          </w:p>
        </w:tc>
        <w:tc>
          <w:tcPr>
            <w:tcW w:w="1400" w:type="dxa"/>
            <w:tcBorders>
              <w:top w:val="single" w:sz="4" w:space="0" w:color="auto"/>
              <w:left w:val="nil"/>
              <w:bottom w:val="single" w:sz="4" w:space="0" w:color="auto"/>
              <w:right w:val="nil"/>
            </w:tcBorders>
          </w:tcPr>
          <w:p w14:paraId="6A7E4474" w14:textId="63E60DD4" w:rsidR="002E34EF" w:rsidRPr="00133CE4" w:rsidRDefault="002E34EF" w:rsidP="002532F4">
            <w:pPr>
              <w:pStyle w:val="BodytextRegular"/>
              <w:jc w:val="center"/>
            </w:pPr>
            <w:r w:rsidRPr="00133CE4">
              <w:rPr>
                <w:rFonts w:cstheme="minorHAnsi"/>
                <w:szCs w:val="18"/>
              </w:rPr>
              <w:t>ISS</w:t>
            </w:r>
          </w:p>
        </w:tc>
        <w:tc>
          <w:tcPr>
            <w:tcW w:w="1415" w:type="dxa"/>
            <w:tcBorders>
              <w:top w:val="single" w:sz="4" w:space="0" w:color="auto"/>
              <w:left w:val="nil"/>
              <w:bottom w:val="single" w:sz="4" w:space="0" w:color="auto"/>
              <w:right w:val="nil"/>
            </w:tcBorders>
          </w:tcPr>
          <w:p w14:paraId="091512C0" w14:textId="0BAD5FE0" w:rsidR="002E34EF" w:rsidRPr="00133CE4" w:rsidRDefault="002E34EF" w:rsidP="002532F4">
            <w:pPr>
              <w:pStyle w:val="BodytextRegular"/>
              <w:jc w:val="center"/>
              <w:rPr>
                <w:rFonts w:cstheme="minorHAnsi"/>
                <w:szCs w:val="18"/>
              </w:rPr>
            </w:pPr>
            <w:r w:rsidRPr="00133CE4">
              <w:rPr>
                <w:rFonts w:cstheme="minorHAnsi"/>
              </w:rPr>
              <w:t>BlackRock Investment Stewardship team (BIS) and ISS.</w:t>
            </w:r>
          </w:p>
        </w:tc>
      </w:tr>
    </w:tbl>
    <w:p w14:paraId="4B57E935" w14:textId="77777777" w:rsidR="002143B6" w:rsidRPr="00133CE4" w:rsidRDefault="002143B6" w:rsidP="002143B6">
      <w:pPr>
        <w:pStyle w:val="Paragraphheaderdeepcerulean"/>
      </w:pPr>
      <w:r w:rsidRPr="00133CE4">
        <w:t>Note:</w:t>
      </w:r>
    </w:p>
    <w:p w14:paraId="78E14DB8" w14:textId="77777777" w:rsidR="00910373" w:rsidRPr="00133CE4" w:rsidRDefault="00910373" w:rsidP="00910373">
      <w:pPr>
        <w:pStyle w:val="BulletedtextRegular"/>
      </w:pPr>
      <w:bookmarkStart w:id="6" w:name="_Hlk209621047"/>
      <w:r w:rsidRPr="00133CE4">
        <w:t>The voting statistics provided may slightly differ depending on the exact composition the Scheme holds.</w:t>
      </w:r>
    </w:p>
    <w:p w14:paraId="766F94BC" w14:textId="77777777" w:rsidR="00910373" w:rsidRPr="00133CE4" w:rsidRDefault="00910373" w:rsidP="00910373">
      <w:pPr>
        <w:pStyle w:val="BulletedtextRegular"/>
      </w:pPr>
      <w:proofErr w:type="spellStart"/>
      <w:r w:rsidRPr="00133CE4">
        <w:t>Lumyna</w:t>
      </w:r>
      <w:proofErr w:type="spellEnd"/>
      <w:r w:rsidRPr="00133CE4">
        <w:t xml:space="preserve"> Marshall Wace have included votes withheld in votes abstained (in order to be in line with the PLSA template which other managers have used), although there are differences between votes withheld and votes abstained.</w:t>
      </w:r>
    </w:p>
    <w:p w14:paraId="31A9EB1B" w14:textId="77777777" w:rsidR="00910373" w:rsidRPr="00133CE4" w:rsidRDefault="00910373" w:rsidP="00910373">
      <w:pPr>
        <w:pStyle w:val="BulletedtextRegular"/>
      </w:pPr>
      <w:r w:rsidRPr="00133CE4">
        <w:lastRenderedPageBreak/>
        <w:t>Figures have been rounded but may not total 100% due to a variety of reasons, such as lack of management recommendation, scenarios where an agenda has been split voted, multiple ballots for the same meeting were voted different ways, or a vote of ‘Abstain’ is also considered a vote against management.</w:t>
      </w:r>
    </w:p>
    <w:p w14:paraId="6E140F0C" w14:textId="50BD9B2F" w:rsidR="003D1111" w:rsidRPr="00133CE4" w:rsidRDefault="00D37E95" w:rsidP="00FE7C24">
      <w:pPr>
        <w:pStyle w:val="BulletedtextRegular"/>
        <w:numPr>
          <w:ilvl w:val="0"/>
          <w:numId w:val="0"/>
        </w:numPr>
        <w:spacing w:after="0"/>
        <w:rPr>
          <w:rFonts w:cstheme="minorHAnsi"/>
        </w:rPr>
      </w:pPr>
      <w:r w:rsidRPr="00133CE4">
        <w:rPr>
          <w:szCs w:val="18"/>
        </w:rPr>
        <w:t>Four</w:t>
      </w:r>
      <w:r w:rsidR="00910373" w:rsidRPr="00133CE4">
        <w:rPr>
          <w:szCs w:val="18"/>
        </w:rPr>
        <w:t xml:space="preserve"> </w:t>
      </w:r>
      <w:r w:rsidR="00910373" w:rsidRPr="00133CE4">
        <w:rPr>
          <w:rFonts w:cstheme="minorHAnsi"/>
        </w:rPr>
        <w:t xml:space="preserve">new liquid alternative funds, </w:t>
      </w:r>
      <w:r w:rsidR="00910373" w:rsidRPr="00133CE4">
        <w:rPr>
          <w:rFonts w:cstheme="minorHAnsi"/>
          <w:b/>
          <w:bCs/>
        </w:rPr>
        <w:t>JP Morgan European Equity Absolute Alpha</w:t>
      </w:r>
      <w:r w:rsidRPr="00133CE4">
        <w:rPr>
          <w:rFonts w:cstheme="minorHAnsi"/>
        </w:rPr>
        <w:t>,</w:t>
      </w:r>
      <w:r w:rsidR="00910373" w:rsidRPr="00133CE4">
        <w:rPr>
          <w:rFonts w:cstheme="minorHAnsi"/>
          <w:b/>
          <w:bCs/>
        </w:rPr>
        <w:t xml:space="preserve"> BlackRock Systematic Total Alpha</w:t>
      </w:r>
      <w:r w:rsidR="00910373" w:rsidRPr="00133CE4">
        <w:rPr>
          <w:rFonts w:cstheme="minorHAnsi"/>
        </w:rPr>
        <w:t>,</w:t>
      </w:r>
      <w:r w:rsidR="00EB3C1C" w:rsidRPr="00133CE4">
        <w:rPr>
          <w:rFonts w:cstheme="minorHAnsi"/>
        </w:rPr>
        <w:t xml:space="preserve"> </w:t>
      </w:r>
      <w:r w:rsidR="00EB3C1C" w:rsidRPr="00133CE4">
        <w:rPr>
          <w:rFonts w:cstheme="minorHAnsi"/>
          <w:b/>
          <w:bCs/>
        </w:rPr>
        <w:t>AQR Apex Fund</w:t>
      </w:r>
      <w:r w:rsidR="00EB3C1C" w:rsidRPr="00133CE4">
        <w:rPr>
          <w:rFonts w:cstheme="minorHAnsi"/>
        </w:rPr>
        <w:t xml:space="preserve"> and </w:t>
      </w:r>
      <w:r w:rsidR="00EB3C1C" w:rsidRPr="00133CE4">
        <w:rPr>
          <w:rFonts w:cstheme="minorHAnsi"/>
          <w:b/>
          <w:bCs/>
        </w:rPr>
        <w:t>AQR Alternative Trend Fund</w:t>
      </w:r>
      <w:r w:rsidR="00EB3C1C" w:rsidRPr="00133CE4">
        <w:rPr>
          <w:rFonts w:cstheme="minorHAnsi"/>
        </w:rPr>
        <w:t xml:space="preserve"> </w:t>
      </w:r>
      <w:r w:rsidR="00910373" w:rsidRPr="00133CE4">
        <w:t>were introduced to the Growth portfolio over the Scheme Year, although the voting data</w:t>
      </w:r>
      <w:r w:rsidR="00EB3C1C" w:rsidRPr="00133CE4">
        <w:t xml:space="preserve"> of JP Morgan and BlackRock funds</w:t>
      </w:r>
      <w:r w:rsidR="00910373" w:rsidRPr="00133CE4">
        <w:t xml:space="preserve"> </w:t>
      </w:r>
      <w:r w:rsidR="00EB3C1C" w:rsidRPr="00133CE4">
        <w:t>is</w:t>
      </w:r>
      <w:r w:rsidR="00910373" w:rsidRPr="00133CE4">
        <w:t xml:space="preserve"> for the 12 months period to 30 June 2025, sourced from the investment managers per PLSA guidance</w:t>
      </w:r>
      <w:bookmarkEnd w:id="6"/>
      <w:r w:rsidR="00EB3C1C" w:rsidRPr="00133CE4">
        <w:t>. AQR do not allow voting data to be publicly shared.</w:t>
      </w:r>
    </w:p>
    <w:p w14:paraId="1292209F" w14:textId="77777777" w:rsidR="003D1111" w:rsidRPr="00133CE4" w:rsidRDefault="003D1111" w:rsidP="00D13EE6">
      <w:pPr>
        <w:pStyle w:val="BodytextRegular"/>
      </w:pPr>
    </w:p>
    <w:p w14:paraId="0AFA1E8D" w14:textId="1E6B7FDF" w:rsidR="0036275A" w:rsidRDefault="002143B6" w:rsidP="002143B6">
      <w:pPr>
        <w:pStyle w:val="BodytextRegular"/>
      </w:pPr>
      <w:r w:rsidRPr="00133CE4">
        <w:rPr>
          <w:b/>
          <w:bCs/>
        </w:rPr>
        <w:t>The Trustee</w:t>
      </w:r>
      <w:r w:rsidR="00133CE4" w:rsidRPr="00133CE4">
        <w:rPr>
          <w:b/>
          <w:bCs/>
        </w:rPr>
        <w:t xml:space="preserve"> is</w:t>
      </w:r>
      <w:r w:rsidRPr="00133CE4">
        <w:t xml:space="preserve"> </w:t>
      </w:r>
      <w:r w:rsidRPr="00133CE4">
        <w:rPr>
          <w:b/>
          <w:bCs/>
        </w:rPr>
        <w:t>satisfied that the voting and engagement activities undertaken by both the Fiduciary Manager and the Underlying Investment Managers align with the stewardship priorities determined during the Scheme Year, hence the Trustee believe</w:t>
      </w:r>
      <w:r w:rsidR="00133CE4" w:rsidRPr="00133CE4">
        <w:rPr>
          <w:b/>
          <w:bCs/>
        </w:rPr>
        <w:t>s</w:t>
      </w:r>
      <w:r w:rsidRPr="00133CE4">
        <w:rPr>
          <w:b/>
          <w:bCs/>
        </w:rPr>
        <w:t xml:space="preserve"> that they have satisfactorily implemented the Stewardship Policy stated in the Scheme’s SIP.</w:t>
      </w:r>
    </w:p>
    <w:p w14:paraId="3872AFD6" w14:textId="77777777" w:rsidR="002143B6" w:rsidRDefault="002143B6">
      <w:pPr>
        <w:spacing w:after="200" w:line="276" w:lineRule="auto"/>
        <w:rPr>
          <w:sz w:val="18"/>
          <w:szCs w:val="20"/>
        </w:rPr>
      </w:pPr>
      <w:r>
        <w:br w:type="page"/>
      </w:r>
    </w:p>
    <w:p w14:paraId="22D06974" w14:textId="77777777" w:rsidR="002143B6" w:rsidRPr="00133CE4" w:rsidRDefault="002143B6" w:rsidP="002143B6">
      <w:pPr>
        <w:pStyle w:val="SectiontitleToC"/>
      </w:pPr>
      <w:r w:rsidRPr="00133CE4">
        <w:lastRenderedPageBreak/>
        <w:t xml:space="preserve">Appendix 1 – ESG, Voting and Engagement Policies </w:t>
      </w:r>
    </w:p>
    <w:p w14:paraId="306A5046" w14:textId="061C745D" w:rsidR="002143B6" w:rsidRDefault="002143B6" w:rsidP="002143B6">
      <w:pPr>
        <w:pStyle w:val="BodytextRegular"/>
      </w:pPr>
      <w:r w:rsidRPr="00133CE4">
        <w:t>Links to the voting and responsible investment policies for both the Fiduciary Manager and Underlying Investment Managers of the Scheme’s holdings can</w:t>
      </w:r>
      <w:r w:rsidRPr="00021556">
        <w:t xml:space="preserve"> be found here:</w:t>
      </w:r>
    </w:p>
    <w:p w14:paraId="79964BB1" w14:textId="77777777" w:rsidR="00E81ADC" w:rsidRDefault="00E81ADC" w:rsidP="002143B6">
      <w:pPr>
        <w:pStyle w:val="BodytextRegular"/>
      </w:pPr>
    </w:p>
    <w:tbl>
      <w:tblPr>
        <w:tblStyle w:val="Table"/>
        <w:tblW w:w="9214" w:type="dxa"/>
        <w:tblLayout w:type="fixed"/>
        <w:tblLook w:val="04A0" w:firstRow="1" w:lastRow="0" w:firstColumn="1" w:lastColumn="0" w:noHBand="0" w:noVBand="1"/>
      </w:tblPr>
      <w:tblGrid>
        <w:gridCol w:w="3119"/>
        <w:gridCol w:w="6095"/>
      </w:tblGrid>
      <w:tr w:rsidR="00A61DAA" w:rsidRPr="00E81ADC" w14:paraId="6B00C7E5" w14:textId="77777777" w:rsidTr="1C5C18B5">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3119" w:type="dxa"/>
            <w:noWrap/>
            <w:vAlign w:val="bottom"/>
            <w:hideMark/>
          </w:tcPr>
          <w:p w14:paraId="77D330A7" w14:textId="1979060D" w:rsidR="00A61DAA" w:rsidRPr="00E81ADC" w:rsidRDefault="00A61DAA" w:rsidP="009E7A11">
            <w:pPr>
              <w:pStyle w:val="BodytextRegular"/>
              <w:spacing w:after="60"/>
            </w:pPr>
            <w:r>
              <w:t xml:space="preserve">Investment Manager </w:t>
            </w:r>
            <w:r w:rsidR="4728402F">
              <w:t>&amp;</w:t>
            </w:r>
            <w:r>
              <w:t xml:space="preserve"> Underlying Investment Manager</w:t>
            </w:r>
          </w:p>
        </w:tc>
        <w:tc>
          <w:tcPr>
            <w:tcW w:w="6095" w:type="dxa"/>
          </w:tcPr>
          <w:p w14:paraId="7BFE6F4D" w14:textId="757CA7E4" w:rsidR="00A61DAA" w:rsidRPr="00E81ADC" w:rsidRDefault="00A61DAA" w:rsidP="00AA3509">
            <w:pPr>
              <w:pStyle w:val="BodytextRegular"/>
              <w:spacing w:after="60"/>
              <w:cnfStyle w:val="100000000000" w:firstRow="1" w:lastRow="0" w:firstColumn="0" w:lastColumn="0" w:oddVBand="0" w:evenVBand="0" w:oddHBand="0" w:evenHBand="0" w:firstRowFirstColumn="0" w:firstRowLastColumn="0" w:lastRowFirstColumn="0" w:lastRowLastColumn="0"/>
            </w:pPr>
            <w:r>
              <w:t xml:space="preserve">Voting </w:t>
            </w:r>
            <w:r w:rsidR="10EA9EA1">
              <w:t>&amp;</w:t>
            </w:r>
            <w:r>
              <w:t xml:space="preserve"> Engagement Policy</w:t>
            </w:r>
          </w:p>
        </w:tc>
      </w:tr>
      <w:tr w:rsidR="00A61DAA" w:rsidRPr="00E81ADC" w14:paraId="6049C8BC" w14:textId="77777777" w:rsidTr="1C5C18B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2"/>
            <w:noWrap/>
            <w:hideMark/>
          </w:tcPr>
          <w:p w14:paraId="18017DD3" w14:textId="77777777" w:rsidR="00A61DAA" w:rsidRPr="009744D6" w:rsidRDefault="00A61DAA" w:rsidP="00AA3509">
            <w:pPr>
              <w:pStyle w:val="BodytextRegular"/>
              <w:spacing w:after="60"/>
            </w:pPr>
            <w:r w:rsidRPr="00D91E29">
              <w:t xml:space="preserve">Schroders Solutions </w:t>
            </w:r>
          </w:p>
        </w:tc>
        <w:tc>
          <w:tcPr>
            <w:tcW w:w="6095" w:type="dxa"/>
          </w:tcPr>
          <w:p w14:paraId="0C44D535" w14:textId="77777777" w:rsidR="00A61DAA" w:rsidRPr="003A606E" w:rsidRDefault="00A61DAA" w:rsidP="00AA3509">
            <w:pPr>
              <w:pStyle w:val="BodytextRegular"/>
              <w:spacing w:after="60"/>
              <w:cnfStyle w:val="000000100000" w:firstRow="0" w:lastRow="0" w:firstColumn="0" w:lastColumn="0" w:oddVBand="0" w:evenVBand="0" w:oddHBand="1" w:evenHBand="0" w:firstRowFirstColumn="0" w:firstRowLastColumn="0" w:lastRowFirstColumn="0" w:lastRowLastColumn="0"/>
              <w:rPr>
                <w:rStyle w:val="Hyperlink"/>
              </w:rPr>
            </w:pPr>
            <w:hyperlink r:id="rId11" w:history="1">
              <w:r w:rsidRPr="003A606E">
                <w:rPr>
                  <w:rStyle w:val="Hyperlink"/>
                </w:rPr>
                <w:t>https://mybrand.schroders.com/m/6197143c263420f5/original/Schroders-Group-Sustainable-Investment-Policy.pdf</w:t>
              </w:r>
            </w:hyperlink>
          </w:p>
          <w:p w14:paraId="47B405A8" w14:textId="770C5663" w:rsidR="00A61DAA" w:rsidRPr="00E81ADC" w:rsidRDefault="00A61DAA" w:rsidP="00AA3509">
            <w:pPr>
              <w:pStyle w:val="BodytextRegular"/>
              <w:spacing w:after="60"/>
              <w:cnfStyle w:val="000000100000" w:firstRow="0" w:lastRow="0" w:firstColumn="0" w:lastColumn="0" w:oddVBand="0" w:evenVBand="0" w:oddHBand="1" w:evenHBand="0" w:firstRowFirstColumn="0" w:firstRowLastColumn="0" w:lastRowFirstColumn="0" w:lastRowLastColumn="0"/>
            </w:pPr>
            <w:hyperlink r:id="rId12" w:history="1">
              <w:r w:rsidRPr="00F923CA">
                <w:rPr>
                  <w:rStyle w:val="Hyperlink"/>
                </w:rPr>
                <w:t>https://mybrand.schroders.com/m/75fa1cd8dd188c3b/original/613798_SC_Listed-Assets-Blueprint-Report-_Digital_16_9_V12.pdf</w:t>
              </w:r>
            </w:hyperlink>
          </w:p>
        </w:tc>
      </w:tr>
      <w:tr w:rsidR="00A61DAA" w14:paraId="43476339" w14:textId="77777777" w:rsidTr="1C5C18B5">
        <w:trPr>
          <w:trHeight w:val="454"/>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2"/>
            <w:noWrap/>
          </w:tcPr>
          <w:p w14:paraId="1D0B5702" w14:textId="77777777" w:rsidR="00A61DAA" w:rsidRPr="001D5BBE" w:rsidRDefault="00A61DAA" w:rsidP="00AA3509">
            <w:pPr>
              <w:pStyle w:val="BodytextRegular"/>
              <w:spacing w:after="60"/>
            </w:pPr>
            <w:r w:rsidRPr="001D5BBE">
              <w:t>AQR</w:t>
            </w:r>
          </w:p>
        </w:tc>
        <w:tc>
          <w:tcPr>
            <w:tcW w:w="6095" w:type="dxa"/>
          </w:tcPr>
          <w:p w14:paraId="745A3244" w14:textId="2199CE3B" w:rsidR="00A61DAA" w:rsidRDefault="00A61DAA" w:rsidP="00AA3509">
            <w:pPr>
              <w:pStyle w:val="BodytextRegular"/>
              <w:spacing w:after="60"/>
              <w:cnfStyle w:val="000000000000" w:firstRow="0" w:lastRow="0" w:firstColumn="0" w:lastColumn="0" w:oddVBand="0" w:evenVBand="0" w:oddHBand="0" w:evenHBand="0" w:firstRowFirstColumn="0" w:firstRowLastColumn="0" w:lastRowFirstColumn="0" w:lastRowLastColumn="0"/>
            </w:pPr>
            <w:hyperlink r:id="rId13" w:history="1">
              <w:r w:rsidRPr="00D30F83">
                <w:rPr>
                  <w:rStyle w:val="Hyperlink"/>
                </w:rPr>
                <w:t>https://www.aqr.com/-/media/AQR/Documents/ESG/AQR-Proxy-Voting-Policy.pdf?sc_lang=enhash=7FFEB296D71C2EE923DC5D1F3EC01024</w:t>
              </w:r>
            </w:hyperlink>
          </w:p>
        </w:tc>
      </w:tr>
      <w:tr w:rsidR="00A61DAA" w14:paraId="3A7EE079" w14:textId="77777777" w:rsidTr="1C5C18B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2"/>
            <w:noWrap/>
          </w:tcPr>
          <w:p w14:paraId="24B659C0" w14:textId="77777777" w:rsidR="00A61DAA" w:rsidRPr="009744D6" w:rsidRDefault="00A61DAA" w:rsidP="00AA3509">
            <w:pPr>
              <w:pStyle w:val="BodytextRegular"/>
              <w:spacing w:after="60"/>
              <w:rPr>
                <w:bCs/>
              </w:rPr>
            </w:pPr>
            <w:r w:rsidRPr="00D91E29">
              <w:rPr>
                <w:bCs/>
              </w:rPr>
              <w:t xml:space="preserve">Vanguard </w:t>
            </w:r>
            <w:r>
              <w:rPr>
                <w:bCs/>
              </w:rPr>
              <w:t>(Vanguard ETFs)</w:t>
            </w:r>
          </w:p>
        </w:tc>
        <w:tc>
          <w:tcPr>
            <w:tcW w:w="6095" w:type="dxa"/>
          </w:tcPr>
          <w:p w14:paraId="029DDEA4" w14:textId="77777777" w:rsidR="00A61DAA" w:rsidRDefault="00A61DAA" w:rsidP="00AA3509">
            <w:pPr>
              <w:pStyle w:val="BodytextRegular"/>
              <w:spacing w:after="60"/>
              <w:cnfStyle w:val="000000100000" w:firstRow="0" w:lastRow="0" w:firstColumn="0" w:lastColumn="0" w:oddVBand="0" w:evenVBand="0" w:oddHBand="1" w:evenHBand="0" w:firstRowFirstColumn="0" w:firstRowLastColumn="0" w:lastRowFirstColumn="0" w:lastRowLastColumn="0"/>
              <w:rPr>
                <w:sz w:val="19"/>
                <w:szCs w:val="22"/>
              </w:rPr>
            </w:pPr>
            <w:hyperlink r:id="rId14" w:history="1">
              <w:r w:rsidRPr="001378F5">
                <w:rPr>
                  <w:color w:val="0000FF"/>
                  <w:sz w:val="19"/>
                  <w:szCs w:val="22"/>
                  <w:u w:val="single"/>
                </w:rPr>
                <w:t>Global proxy voting policy</w:t>
              </w:r>
            </w:hyperlink>
          </w:p>
          <w:p w14:paraId="7D72DC6B" w14:textId="77777777" w:rsidR="00A61DAA" w:rsidRDefault="00A61DAA" w:rsidP="00AA3509">
            <w:pPr>
              <w:pStyle w:val="BodytextRegular"/>
              <w:spacing w:after="60"/>
              <w:cnfStyle w:val="000000100000" w:firstRow="0" w:lastRow="0" w:firstColumn="0" w:lastColumn="0" w:oddVBand="0" w:evenVBand="0" w:oddHBand="1" w:evenHBand="0" w:firstRowFirstColumn="0" w:firstRowLastColumn="0" w:lastRowFirstColumn="0" w:lastRowLastColumn="0"/>
            </w:pPr>
            <w:hyperlink r:id="rId15" w:history="1">
              <w:r w:rsidRPr="001378F5">
                <w:rPr>
                  <w:rStyle w:val="Hyperlink"/>
                </w:rPr>
                <w:t>A guide to engaging with Vanguard</w:t>
              </w:r>
            </w:hyperlink>
          </w:p>
        </w:tc>
      </w:tr>
      <w:tr w:rsidR="00A61DAA" w14:paraId="1B0A5A67" w14:textId="77777777" w:rsidTr="1C5C18B5">
        <w:trPr>
          <w:trHeight w:val="454"/>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2"/>
            <w:noWrap/>
          </w:tcPr>
          <w:p w14:paraId="053A2AC4" w14:textId="77777777" w:rsidR="00A61DAA" w:rsidRPr="001D5BBE" w:rsidRDefault="00A61DAA" w:rsidP="00AA3509">
            <w:pPr>
              <w:pStyle w:val="BodytextRegular"/>
              <w:spacing w:after="60"/>
            </w:pPr>
            <w:r w:rsidRPr="001D5BBE">
              <w:t>Lazard</w:t>
            </w:r>
          </w:p>
        </w:tc>
        <w:tc>
          <w:tcPr>
            <w:tcW w:w="6095" w:type="dxa"/>
          </w:tcPr>
          <w:p w14:paraId="23875D13" w14:textId="77777777" w:rsidR="00A61DAA" w:rsidRDefault="00A61DAA" w:rsidP="00AA3509">
            <w:pPr>
              <w:pStyle w:val="BodytextRegular"/>
              <w:spacing w:after="60"/>
              <w:cnfStyle w:val="000000000000" w:firstRow="0" w:lastRow="0" w:firstColumn="0" w:lastColumn="0" w:oddVBand="0" w:evenVBand="0" w:oddHBand="0" w:evenHBand="0" w:firstRowFirstColumn="0" w:firstRowLastColumn="0" w:lastRowFirstColumn="0" w:lastRowLastColumn="0"/>
            </w:pPr>
            <w:hyperlink r:id="rId16" w:history="1">
              <w:r w:rsidRPr="00755628">
                <w:rPr>
                  <w:color w:val="0000FF"/>
                  <w:sz w:val="19"/>
                  <w:szCs w:val="22"/>
                  <w:u w:val="single"/>
                </w:rPr>
                <w:t>Sustainable Investment and ESG Integration Policy</w:t>
              </w:r>
            </w:hyperlink>
          </w:p>
        </w:tc>
      </w:tr>
      <w:tr w:rsidR="00A61DAA" w:rsidRPr="00E81ADC" w14:paraId="3800AC15" w14:textId="77777777" w:rsidTr="1C5C18B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2"/>
            <w:noWrap/>
          </w:tcPr>
          <w:p w14:paraId="773AD33E" w14:textId="77777777" w:rsidR="00A61DAA" w:rsidRPr="009744D6" w:rsidRDefault="00A61DAA" w:rsidP="00AA3509">
            <w:pPr>
              <w:pStyle w:val="BodytextRegular"/>
              <w:spacing w:after="60"/>
            </w:pPr>
            <w:proofErr w:type="spellStart"/>
            <w:r w:rsidRPr="00D91E29">
              <w:t>Lumyna</w:t>
            </w:r>
            <w:proofErr w:type="spellEnd"/>
            <w:r w:rsidRPr="00D91E29">
              <w:t xml:space="preserve"> Marshall Wace</w:t>
            </w:r>
          </w:p>
        </w:tc>
        <w:tc>
          <w:tcPr>
            <w:tcW w:w="6095" w:type="dxa"/>
          </w:tcPr>
          <w:p w14:paraId="26C6E9B6" w14:textId="77777777" w:rsidR="00A61DAA" w:rsidRPr="00E81ADC" w:rsidRDefault="00A61DAA" w:rsidP="00AA3509">
            <w:pPr>
              <w:pStyle w:val="BodytextRegular"/>
              <w:spacing w:after="60"/>
              <w:cnfStyle w:val="000000100000" w:firstRow="0" w:lastRow="0" w:firstColumn="0" w:lastColumn="0" w:oddVBand="0" w:evenVBand="0" w:oddHBand="1" w:evenHBand="0" w:firstRowFirstColumn="0" w:firstRowLastColumn="0" w:lastRowFirstColumn="0" w:lastRowLastColumn="0"/>
            </w:pPr>
            <w:hyperlink r:id="rId17" w:history="1">
              <w:r w:rsidRPr="003A606E">
                <w:rPr>
                  <w:rStyle w:val="Hyperlink"/>
                </w:rPr>
                <w:t>https://cdn.mwam.com/download/MW_Engagement_Policy_Jan_2022.pdf</w:t>
              </w:r>
            </w:hyperlink>
          </w:p>
        </w:tc>
      </w:tr>
      <w:tr w:rsidR="00A61DAA" w:rsidRPr="003A606E" w14:paraId="20BC5F37" w14:textId="77777777" w:rsidTr="1C5C18B5">
        <w:trPr>
          <w:trHeight w:val="454"/>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2"/>
            <w:noWrap/>
          </w:tcPr>
          <w:p w14:paraId="0CD6679E" w14:textId="77777777" w:rsidR="00A61DAA" w:rsidRPr="009744D6" w:rsidRDefault="00A61DAA" w:rsidP="00AA3509">
            <w:pPr>
              <w:pStyle w:val="BodytextRegular"/>
              <w:spacing w:after="60"/>
            </w:pPr>
            <w:r w:rsidRPr="00D91E29">
              <w:t xml:space="preserve">JP Morgan </w:t>
            </w:r>
          </w:p>
        </w:tc>
        <w:tc>
          <w:tcPr>
            <w:tcW w:w="6095" w:type="dxa"/>
          </w:tcPr>
          <w:p w14:paraId="1851BE8A" w14:textId="77777777" w:rsidR="00A61DAA" w:rsidRPr="003A606E" w:rsidRDefault="00A61DAA" w:rsidP="00AA3509">
            <w:pPr>
              <w:pStyle w:val="BodytextRegular"/>
              <w:spacing w:after="60"/>
              <w:cnfStyle w:val="000000000000" w:firstRow="0" w:lastRow="0" w:firstColumn="0" w:lastColumn="0" w:oddVBand="0" w:evenVBand="0" w:oddHBand="0" w:evenHBand="0" w:firstRowFirstColumn="0" w:firstRowLastColumn="0" w:lastRowFirstColumn="0" w:lastRowLastColumn="0"/>
              <w:rPr>
                <w:rStyle w:val="Hyperlink"/>
              </w:rPr>
            </w:pPr>
            <w:hyperlink r:id="rId18" w:history="1">
              <w:r w:rsidRPr="003A606E">
                <w:rPr>
                  <w:rStyle w:val="Hyperlink"/>
                </w:rPr>
                <w:t>https://am.jpmorgan.com/content/dam/jpm-am-aem/global/en/institutional/communications/lux-communication/corporate-governance-principles-and-voting-guidelines.pdf</w:t>
              </w:r>
            </w:hyperlink>
          </w:p>
          <w:p w14:paraId="13077912" w14:textId="77777777" w:rsidR="00A61DAA" w:rsidRPr="003A606E" w:rsidRDefault="00A61DAA" w:rsidP="00AA3509">
            <w:pPr>
              <w:pStyle w:val="BodytextRegular"/>
              <w:spacing w:after="60"/>
              <w:cnfStyle w:val="000000000000" w:firstRow="0" w:lastRow="0" w:firstColumn="0" w:lastColumn="0" w:oddVBand="0" w:evenVBand="0" w:oddHBand="0" w:evenHBand="0" w:firstRowFirstColumn="0" w:firstRowLastColumn="0" w:lastRowFirstColumn="0" w:lastRowLastColumn="0"/>
              <w:rPr>
                <w:rStyle w:val="Hyperlink"/>
              </w:rPr>
            </w:pPr>
            <w:hyperlink r:id="rId19" w:history="1">
              <w:r w:rsidRPr="003A606E">
                <w:rPr>
                  <w:rStyle w:val="Hyperlink"/>
                </w:rPr>
                <w:t>Engagement-and-proxy-voting-statement.pdf</w:t>
              </w:r>
            </w:hyperlink>
          </w:p>
        </w:tc>
      </w:tr>
      <w:tr w:rsidR="00A61DAA" w:rsidRPr="00E81ADC" w14:paraId="0DF3AE1D" w14:textId="77777777" w:rsidTr="1C5C18B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2"/>
            <w:noWrap/>
          </w:tcPr>
          <w:p w14:paraId="759D72E1" w14:textId="112DB5ED" w:rsidR="00A61DAA" w:rsidRPr="009744D6" w:rsidRDefault="00A61DAA" w:rsidP="00AA3509">
            <w:pPr>
              <w:pStyle w:val="BodytextRegular"/>
              <w:spacing w:after="60"/>
            </w:pPr>
            <w:r w:rsidRPr="00D91E29">
              <w:t>BlackRock</w:t>
            </w:r>
            <w:r>
              <w:t xml:space="preserve"> (including </w:t>
            </w:r>
            <w:r w:rsidR="006163B2">
              <w:t>iShares</w:t>
            </w:r>
            <w:r>
              <w:t xml:space="preserve"> ETFs) </w:t>
            </w:r>
          </w:p>
        </w:tc>
        <w:tc>
          <w:tcPr>
            <w:tcW w:w="6095" w:type="dxa"/>
          </w:tcPr>
          <w:p w14:paraId="344D20E5" w14:textId="6022ED30" w:rsidR="00A61DAA" w:rsidRPr="00E81ADC" w:rsidRDefault="00A61DAA" w:rsidP="00AA3509">
            <w:pPr>
              <w:pStyle w:val="BodytextRegular"/>
              <w:spacing w:after="60"/>
              <w:cnfStyle w:val="000000100000" w:firstRow="0" w:lastRow="0" w:firstColumn="0" w:lastColumn="0" w:oddVBand="0" w:evenVBand="0" w:oddHBand="1" w:evenHBand="0" w:firstRowFirstColumn="0" w:firstRowLastColumn="0" w:lastRowFirstColumn="0" w:lastRowLastColumn="0"/>
            </w:pPr>
            <w:hyperlink r:id="rId20" w:history="1">
              <w:r w:rsidRPr="001071F5">
                <w:rPr>
                  <w:rStyle w:val="Hyperlink"/>
                </w:rPr>
                <w:t>https://www.blackrock.com/corporate/literature/publication/blackrock-active-investment-stewardship-engagement-and-voting-guidelines.pdf</w:t>
              </w:r>
            </w:hyperlink>
          </w:p>
        </w:tc>
      </w:tr>
      <w:tr w:rsidR="00A61DAA" w:rsidRPr="00E81ADC" w14:paraId="5115847D" w14:textId="77777777" w:rsidTr="1C5C18B5">
        <w:trPr>
          <w:trHeight w:val="454"/>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2"/>
            <w:noWrap/>
          </w:tcPr>
          <w:p w14:paraId="586B357F" w14:textId="77777777" w:rsidR="00A61DAA" w:rsidRPr="009744D6" w:rsidRDefault="00A61DAA" w:rsidP="00AA3509">
            <w:pPr>
              <w:pStyle w:val="BodytextRegular"/>
              <w:spacing w:after="60"/>
            </w:pPr>
            <w:r w:rsidRPr="00D91E29">
              <w:t>SCOR</w:t>
            </w:r>
          </w:p>
        </w:tc>
        <w:tc>
          <w:tcPr>
            <w:tcW w:w="6095" w:type="dxa"/>
          </w:tcPr>
          <w:p w14:paraId="23F0345C" w14:textId="77777777" w:rsidR="00A61DAA" w:rsidRPr="00E81ADC" w:rsidRDefault="00A61DAA" w:rsidP="00AA3509">
            <w:pPr>
              <w:pStyle w:val="BodytextRegular"/>
              <w:spacing w:after="60"/>
              <w:cnfStyle w:val="000000000000" w:firstRow="0" w:lastRow="0" w:firstColumn="0" w:lastColumn="0" w:oddVBand="0" w:evenVBand="0" w:oddHBand="0" w:evenHBand="0" w:firstRowFirstColumn="0" w:firstRowLastColumn="0" w:lastRowFirstColumn="0" w:lastRowLastColumn="0"/>
              <w:rPr>
                <w:color w:val="000000" w:themeColor="text1"/>
              </w:rPr>
            </w:pPr>
            <w:hyperlink r:id="rId21" w:history="1">
              <w:r w:rsidRPr="003A606E">
                <w:rPr>
                  <w:rStyle w:val="Hyperlink"/>
                </w:rPr>
                <w:t xml:space="preserve">SCOR </w:t>
              </w:r>
              <w:proofErr w:type="spellStart"/>
              <w:r w:rsidRPr="003A606E">
                <w:rPr>
                  <w:rStyle w:val="Hyperlink"/>
                </w:rPr>
                <w:t>IP_Engagement</w:t>
              </w:r>
              <w:proofErr w:type="spellEnd"/>
              <w:r w:rsidRPr="003A606E">
                <w:rPr>
                  <w:rStyle w:val="Hyperlink"/>
                </w:rPr>
                <w:t xml:space="preserve"> Policy_052024_EN_0.pdf</w:t>
              </w:r>
            </w:hyperlink>
          </w:p>
        </w:tc>
      </w:tr>
      <w:tr w:rsidR="00A61DAA" w:rsidRPr="00E81ADC" w14:paraId="6376A068" w14:textId="77777777" w:rsidTr="1C5C18B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2"/>
            <w:noWrap/>
          </w:tcPr>
          <w:p w14:paraId="41888BCC" w14:textId="77777777" w:rsidR="00A61DAA" w:rsidRPr="009744D6" w:rsidRDefault="00A61DAA" w:rsidP="00AA3509">
            <w:pPr>
              <w:pStyle w:val="BodytextRegular"/>
              <w:spacing w:after="60"/>
            </w:pPr>
            <w:r w:rsidRPr="00D91E29">
              <w:t>T Rowe Price</w:t>
            </w:r>
          </w:p>
        </w:tc>
        <w:tc>
          <w:tcPr>
            <w:tcW w:w="6095" w:type="dxa"/>
          </w:tcPr>
          <w:p w14:paraId="2E67E987" w14:textId="77777777" w:rsidR="00A61DAA" w:rsidRPr="00E81ADC" w:rsidRDefault="00A61DAA" w:rsidP="00AA3509">
            <w:pPr>
              <w:pStyle w:val="BodytextRegular"/>
              <w:spacing w:after="60"/>
              <w:cnfStyle w:val="000000100000" w:firstRow="0" w:lastRow="0" w:firstColumn="0" w:lastColumn="0" w:oddVBand="0" w:evenVBand="0" w:oddHBand="1" w:evenHBand="0" w:firstRowFirstColumn="0" w:firstRowLastColumn="0" w:lastRowFirstColumn="0" w:lastRowLastColumn="0"/>
              <w:rPr>
                <w:color w:val="000000" w:themeColor="text1"/>
              </w:rPr>
            </w:pPr>
            <w:hyperlink r:id="rId22" w:history="1">
              <w:r w:rsidRPr="003A606E">
                <w:rPr>
                  <w:rStyle w:val="Hyperlink"/>
                </w:rPr>
                <w:t>https://www.troweprice.com/content/dam/trowecorp/Pdfs/esg/proxy-voting-guidelines-TRPA.pdf</w:t>
              </w:r>
            </w:hyperlink>
          </w:p>
        </w:tc>
      </w:tr>
      <w:tr w:rsidR="00A61DAA" w:rsidRPr="00E81ADC" w14:paraId="74A2E812" w14:textId="77777777" w:rsidTr="1C5C18B5">
        <w:trPr>
          <w:trHeight w:val="454"/>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2"/>
            <w:noWrap/>
          </w:tcPr>
          <w:p w14:paraId="58F490BE" w14:textId="77777777" w:rsidR="00A61DAA" w:rsidRPr="009744D6" w:rsidRDefault="00A61DAA" w:rsidP="00AA3509">
            <w:pPr>
              <w:pStyle w:val="BodytextRegular"/>
              <w:spacing w:after="60"/>
            </w:pPr>
            <w:r w:rsidRPr="00D91E29">
              <w:t>Neuberger Berman</w:t>
            </w:r>
          </w:p>
        </w:tc>
        <w:tc>
          <w:tcPr>
            <w:tcW w:w="6095" w:type="dxa"/>
          </w:tcPr>
          <w:p w14:paraId="3961B67F" w14:textId="77777777" w:rsidR="00A61DAA" w:rsidRPr="00E81ADC" w:rsidRDefault="00A61DAA" w:rsidP="00AA3509">
            <w:pPr>
              <w:pStyle w:val="BodytextRegular"/>
              <w:spacing w:after="60"/>
              <w:cnfStyle w:val="000000000000" w:firstRow="0" w:lastRow="0" w:firstColumn="0" w:lastColumn="0" w:oddVBand="0" w:evenVBand="0" w:oddHBand="0" w:evenHBand="0" w:firstRowFirstColumn="0" w:firstRowLastColumn="0" w:lastRowFirstColumn="0" w:lastRowLastColumn="0"/>
              <w:rPr>
                <w:color w:val="000000" w:themeColor="text1"/>
              </w:rPr>
            </w:pPr>
            <w:hyperlink r:id="rId23" w:history="1">
              <w:r w:rsidRPr="003A606E">
                <w:rPr>
                  <w:rStyle w:val="Hyperlink"/>
                </w:rPr>
                <w:t>https://www.nb.com/handlers/documents.ashx?id=aba155d6-e78e-4668-800f-fa69f05d45d0name=Stewardship%20and%20Engagement%20Policy</w:t>
              </w:r>
            </w:hyperlink>
          </w:p>
        </w:tc>
      </w:tr>
      <w:tr w:rsidR="00A61DAA" w:rsidRPr="00E81ADC" w14:paraId="0C507AAD" w14:textId="77777777" w:rsidTr="1C5C18B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2"/>
            <w:noWrap/>
          </w:tcPr>
          <w:p w14:paraId="28ADF4C0" w14:textId="77777777" w:rsidR="00A61DAA" w:rsidRPr="009744D6" w:rsidRDefault="00A61DAA" w:rsidP="00AA3509">
            <w:pPr>
              <w:pStyle w:val="BodytextRegular"/>
              <w:spacing w:after="60"/>
            </w:pPr>
            <w:r w:rsidRPr="00D91E29">
              <w:t>Oaktree</w:t>
            </w:r>
          </w:p>
        </w:tc>
        <w:tc>
          <w:tcPr>
            <w:tcW w:w="6095" w:type="dxa"/>
          </w:tcPr>
          <w:p w14:paraId="3493271E" w14:textId="77777777" w:rsidR="00A61DAA" w:rsidRPr="00E81ADC" w:rsidRDefault="00A61DAA" w:rsidP="00AA3509">
            <w:pPr>
              <w:pStyle w:val="BodytextRegular"/>
              <w:spacing w:after="60"/>
              <w:cnfStyle w:val="000000100000" w:firstRow="0" w:lastRow="0" w:firstColumn="0" w:lastColumn="0" w:oddVBand="0" w:evenVBand="0" w:oddHBand="1" w:evenHBand="0" w:firstRowFirstColumn="0" w:firstRowLastColumn="0" w:lastRowFirstColumn="0" w:lastRowLastColumn="0"/>
              <w:rPr>
                <w:color w:val="000000" w:themeColor="text1"/>
              </w:rPr>
            </w:pPr>
            <w:hyperlink r:id="rId24" w:history="1">
              <w:r w:rsidRPr="003A606E">
                <w:rPr>
                  <w:rStyle w:val="Hyperlink"/>
                </w:rPr>
                <w:t>https://www.oaktreecapital.com/docs/default-source/default-document-library/esg-policy-2024.pdf</w:t>
              </w:r>
            </w:hyperlink>
          </w:p>
        </w:tc>
      </w:tr>
      <w:tr w:rsidR="00A61DAA" w:rsidRPr="00E81ADC" w14:paraId="5C608DC1" w14:textId="77777777" w:rsidTr="1C5C18B5">
        <w:trPr>
          <w:trHeight w:val="454"/>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2"/>
            <w:noWrap/>
          </w:tcPr>
          <w:p w14:paraId="067EEAFC" w14:textId="77777777" w:rsidR="00A61DAA" w:rsidRPr="009744D6" w:rsidRDefault="00A61DAA" w:rsidP="00AA3509">
            <w:pPr>
              <w:pStyle w:val="BodytextRegular"/>
              <w:spacing w:after="60"/>
            </w:pPr>
            <w:r w:rsidRPr="00D91E29">
              <w:t xml:space="preserve">CBRE </w:t>
            </w:r>
          </w:p>
        </w:tc>
        <w:tc>
          <w:tcPr>
            <w:tcW w:w="6095" w:type="dxa"/>
          </w:tcPr>
          <w:p w14:paraId="4E09787F" w14:textId="77777777" w:rsidR="00A61DAA" w:rsidRPr="00E81ADC" w:rsidRDefault="00A61DAA" w:rsidP="00AA3509">
            <w:pPr>
              <w:pStyle w:val="BodytextRegular"/>
              <w:spacing w:after="60"/>
              <w:cnfStyle w:val="000000000000" w:firstRow="0" w:lastRow="0" w:firstColumn="0" w:lastColumn="0" w:oddVBand="0" w:evenVBand="0" w:oddHBand="0" w:evenHBand="0" w:firstRowFirstColumn="0" w:firstRowLastColumn="0" w:lastRowFirstColumn="0" w:lastRowLastColumn="0"/>
              <w:rPr>
                <w:color w:val="000000" w:themeColor="text1"/>
              </w:rPr>
            </w:pPr>
            <w:hyperlink r:id="rId25" w:history="1">
              <w:r w:rsidRPr="00572169">
                <w:rPr>
                  <w:rStyle w:val="Hyperlink"/>
                </w:rPr>
                <w:t>https://www.cbreim.com/-/media/project/cbre/bussectors/cbreim/home/about-us/sustainability/cbreim-global-esg-policy.pdf</w:t>
              </w:r>
            </w:hyperlink>
          </w:p>
        </w:tc>
      </w:tr>
    </w:tbl>
    <w:p w14:paraId="5745F0C8" w14:textId="77777777" w:rsidR="003D1111" w:rsidRDefault="003D1111" w:rsidP="002143B6">
      <w:pPr>
        <w:pStyle w:val="BodytextRegular"/>
      </w:pPr>
    </w:p>
    <w:p w14:paraId="31330D10" w14:textId="77777777" w:rsidR="002143B6" w:rsidRDefault="002143B6" w:rsidP="00AB167A">
      <w:pPr>
        <w:pStyle w:val="BodytextRegular"/>
      </w:pPr>
    </w:p>
    <w:bookmarkEnd w:id="0"/>
    <w:bookmarkEnd w:id="1"/>
    <w:p w14:paraId="0E88E194" w14:textId="77777777" w:rsidR="002143B6" w:rsidRDefault="002143B6" w:rsidP="00AB167A">
      <w:pPr>
        <w:pStyle w:val="BodytextRegular"/>
      </w:pPr>
    </w:p>
    <w:sectPr w:rsidR="002143B6" w:rsidSect="001A5B7D">
      <w:headerReference w:type="default" r:id="rId26"/>
      <w:footerReference w:type="default" r:id="rId27"/>
      <w:pgSz w:w="11906" w:h="16838" w:code="9"/>
      <w:pgMar w:top="992" w:right="992" w:bottom="624" w:left="992"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3ECC9" w14:textId="77777777" w:rsidR="00FF155F" w:rsidRDefault="00FF155F" w:rsidP="00EC4E49">
      <w:r>
        <w:separator/>
      </w:r>
    </w:p>
    <w:p w14:paraId="6CCF95B0" w14:textId="77777777" w:rsidR="00FF155F" w:rsidRDefault="00FF155F"/>
    <w:p w14:paraId="72AE6364" w14:textId="77777777" w:rsidR="00FF155F" w:rsidRDefault="00FF155F"/>
    <w:p w14:paraId="2727E73E" w14:textId="77777777" w:rsidR="00FF155F" w:rsidRDefault="00FF155F"/>
    <w:p w14:paraId="40DF0F5D" w14:textId="77777777" w:rsidR="00FF155F" w:rsidRDefault="00FF155F"/>
    <w:p w14:paraId="485D3475" w14:textId="77777777" w:rsidR="00FF155F" w:rsidRDefault="00FF155F"/>
    <w:p w14:paraId="3AB245E5" w14:textId="77777777" w:rsidR="00FF155F" w:rsidRDefault="00FF155F"/>
  </w:endnote>
  <w:endnote w:type="continuationSeparator" w:id="0">
    <w:p w14:paraId="27BE44A0" w14:textId="77777777" w:rsidR="00FF155F" w:rsidRDefault="00FF155F" w:rsidP="00EC4E49">
      <w:r>
        <w:continuationSeparator/>
      </w:r>
    </w:p>
    <w:p w14:paraId="495B7A1A" w14:textId="77777777" w:rsidR="00FF155F" w:rsidRDefault="00FF155F"/>
    <w:p w14:paraId="55681854" w14:textId="77777777" w:rsidR="00FF155F" w:rsidRDefault="00FF155F"/>
    <w:p w14:paraId="157A230A" w14:textId="77777777" w:rsidR="00FF155F" w:rsidRDefault="00FF155F"/>
    <w:p w14:paraId="099EE5EB" w14:textId="77777777" w:rsidR="00FF155F" w:rsidRDefault="00FF155F"/>
    <w:p w14:paraId="2FE70D16" w14:textId="77777777" w:rsidR="00FF155F" w:rsidRDefault="00FF155F"/>
    <w:p w14:paraId="4DEDDEFB" w14:textId="77777777" w:rsidR="00FF155F" w:rsidRDefault="00FF1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roders Circular TT">
    <w:altName w:val="Calibri"/>
    <w:charset w:val="00"/>
    <w:family w:val="swiss"/>
    <w:pitch w:val="variable"/>
    <w:sig w:usb0="A00000BF" w:usb1="5000E47B" w:usb2="00000008" w:usb3="00000000" w:csb0="00000093" w:csb1="00000000"/>
  </w:font>
  <w:font w:name="SimHei">
    <w:altName w:val="黑体"/>
    <w:panose1 w:val="02010600030101010101"/>
    <w:charset w:val="86"/>
    <w:family w:val="modern"/>
    <w:pitch w:val="fixed"/>
    <w:sig w:usb0="800002BF" w:usb1="38CF7CFA" w:usb2="00000016" w:usb3="00000000" w:csb0="00040001" w:csb1="00000000"/>
  </w:font>
  <w:font w:name="Schroders Circular TT Black">
    <w:charset w:val="00"/>
    <w:family w:val="swiss"/>
    <w:pitch w:val="variable"/>
    <w:sig w:usb0="A00000BF" w:usb1="5000E47B" w:usb2="00000008"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12D0" w14:textId="77777777" w:rsidR="002F39CD" w:rsidRPr="00A356F6" w:rsidRDefault="002F39CD" w:rsidP="002F39CD">
    <w:pPr>
      <w:spacing w:line="200" w:lineRule="exact"/>
      <w:rPr>
        <w:rFonts w:ascii="Noto Sans" w:hAnsi="Noto Sans"/>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38"/>
      <w:gridCol w:w="5117"/>
      <w:gridCol w:w="367"/>
    </w:tblGrid>
    <w:tr w:rsidR="002F39CD" w:rsidRPr="002670C0" w14:paraId="2FEEEF86" w14:textId="77777777" w:rsidTr="00C42267">
      <w:trPr>
        <w:trHeight w:hRule="exact" w:val="340"/>
      </w:trPr>
      <w:tc>
        <w:tcPr>
          <w:tcW w:w="4438" w:type="dxa"/>
          <w:vAlign w:val="center"/>
        </w:tcPr>
        <w:p w14:paraId="3E1A775A" w14:textId="77777777" w:rsidR="002F39CD" w:rsidRPr="00060D93" w:rsidRDefault="002F39CD" w:rsidP="002F39CD">
          <w:pPr>
            <w:pStyle w:val="BodyText"/>
            <w:rPr>
              <w:szCs w:val="16"/>
            </w:rPr>
          </w:pPr>
        </w:p>
      </w:tc>
      <w:tc>
        <w:tcPr>
          <w:tcW w:w="5117" w:type="dxa"/>
          <w:vAlign w:val="center"/>
        </w:tcPr>
        <w:p w14:paraId="18617D9B" w14:textId="0A0F9371" w:rsidR="002F39CD" w:rsidRPr="002670C0" w:rsidRDefault="00000000" w:rsidP="002F39CD">
          <w:pPr>
            <w:pStyle w:val="Prussiannavyfootertextright"/>
          </w:pPr>
          <w:sdt>
            <w:sdtPr>
              <w:alias w:val="Title"/>
              <w:tag w:val=""/>
              <w:id w:val="1539858988"/>
              <w:dataBinding w:prefixMappings="xmlns:ns0='http://purl.org/dc/elements/1.1/' xmlns:ns1='http://schemas.openxmlformats.org/package/2006/metadata/core-properties' " w:xpath="/ns1:coreProperties[1]/ns0:title[1]" w:storeItemID="{6C3C8BC8-F283-45AE-878A-BAB7291924A1}"/>
              <w:text/>
            </w:sdtPr>
            <w:sdtContent>
              <w:r w:rsidR="00057239">
                <w:t>Aberystwyth University Pension &amp; Assurance Scheme (‘Scheme’)</w:t>
              </w:r>
            </w:sdtContent>
          </w:sdt>
        </w:p>
      </w:tc>
      <w:tc>
        <w:tcPr>
          <w:tcW w:w="367" w:type="dxa"/>
          <w:vAlign w:val="center"/>
        </w:tcPr>
        <w:p w14:paraId="6F1C68D7" w14:textId="77777777" w:rsidR="002F39CD" w:rsidRPr="002670C0" w:rsidRDefault="002F39CD" w:rsidP="002F39CD">
          <w:pPr>
            <w:jc w:val="right"/>
            <w:rPr>
              <w:color w:val="4F3398" w:themeColor="accent1"/>
            </w:rPr>
          </w:pPr>
          <w:r w:rsidRPr="00366D7C">
            <w:rPr>
              <w:rStyle w:val="PageNumber"/>
              <w:color w:val="001E41" w:themeColor="accent3"/>
            </w:rPr>
            <w:fldChar w:fldCharType="begin"/>
          </w:r>
          <w:r w:rsidRPr="00366D7C">
            <w:rPr>
              <w:rStyle w:val="PageNumber"/>
              <w:color w:val="001E41" w:themeColor="accent3"/>
            </w:rPr>
            <w:instrText xml:space="preserve"> PAGE   \* MERGEFORMAT </w:instrText>
          </w:r>
          <w:r w:rsidRPr="00366D7C">
            <w:rPr>
              <w:rStyle w:val="PageNumber"/>
              <w:color w:val="001E41" w:themeColor="accent3"/>
            </w:rPr>
            <w:fldChar w:fldCharType="separate"/>
          </w:r>
          <w:r w:rsidRPr="00366D7C">
            <w:rPr>
              <w:rStyle w:val="PageNumber"/>
              <w:color w:val="001E41" w:themeColor="accent3"/>
            </w:rPr>
            <w:t>1</w:t>
          </w:r>
          <w:r w:rsidRPr="00366D7C">
            <w:rPr>
              <w:rStyle w:val="PageNumber"/>
              <w:color w:val="001E41" w:themeColor="accent3"/>
            </w:rPr>
            <w:fldChar w:fldCharType="end"/>
          </w:r>
        </w:p>
      </w:tc>
    </w:tr>
  </w:tbl>
  <w:p w14:paraId="7C67C569" w14:textId="77777777" w:rsidR="00485FD6" w:rsidRPr="00485FD6" w:rsidRDefault="00485FD6" w:rsidP="00E76513">
    <w:pPr>
      <w:pStyle w:val="Footer"/>
      <w:rPr>
        <w:color w:val="FFFFFF" w:themeColor="background1"/>
      </w:rPr>
    </w:pPr>
  </w:p>
  <w:p w14:paraId="340D5644" w14:textId="77777777" w:rsidR="007C3A69" w:rsidRDefault="007C3A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4427C" w14:textId="77777777" w:rsidR="00FF155F" w:rsidRPr="005B67EA" w:rsidRDefault="00FF155F" w:rsidP="005B67EA">
      <w:r w:rsidRPr="005B67EA">
        <w:separator/>
      </w:r>
    </w:p>
    <w:p w14:paraId="4E174345" w14:textId="77777777" w:rsidR="00FF155F" w:rsidRDefault="00FF155F"/>
  </w:footnote>
  <w:footnote w:type="continuationSeparator" w:id="0">
    <w:p w14:paraId="60EED8FD" w14:textId="77777777" w:rsidR="00FF155F" w:rsidRDefault="00FF155F" w:rsidP="00EC4E49">
      <w:r>
        <w:continuationSeparator/>
      </w:r>
    </w:p>
    <w:p w14:paraId="46075A52" w14:textId="77777777" w:rsidR="00FF155F" w:rsidRDefault="00FF155F"/>
    <w:p w14:paraId="2320D1A9" w14:textId="77777777" w:rsidR="00FF155F" w:rsidRDefault="00FF155F"/>
  </w:footnote>
  <w:footnote w:type="continuationNotice" w:id="1">
    <w:p w14:paraId="5BDF3914" w14:textId="77777777" w:rsidR="00FF155F" w:rsidRDefault="00FF155F"/>
    <w:p w14:paraId="1D9D9500" w14:textId="77777777" w:rsidR="00FF155F" w:rsidRDefault="00FF155F"/>
    <w:p w14:paraId="4169E795" w14:textId="77777777" w:rsidR="00FF155F" w:rsidRDefault="00FF155F"/>
  </w:footnote>
  <w:footnote w:id="2">
    <w:p w14:paraId="0F1A8D9B" w14:textId="5DE1A545" w:rsidR="005D3482" w:rsidRPr="00A721A4" w:rsidRDefault="005D3482" w:rsidP="005D3482">
      <w:pPr>
        <w:rPr>
          <w:rFonts w:cs="Segoe UI"/>
          <w:sz w:val="14"/>
          <w:szCs w:val="14"/>
        </w:rPr>
      </w:pPr>
      <w:r w:rsidRPr="00A721A4">
        <w:rPr>
          <w:rStyle w:val="FootnoteReference"/>
          <w:sz w:val="14"/>
          <w:szCs w:val="14"/>
        </w:rPr>
        <w:footnoteRef/>
      </w:r>
      <w:r w:rsidRPr="00A721A4">
        <w:rPr>
          <w:sz w:val="14"/>
          <w:szCs w:val="14"/>
        </w:rPr>
        <w:t xml:space="preserve">The voting statistics provided pertain to the Fiduciary Manager’s Model Growth portfolio </w:t>
      </w:r>
      <w:r w:rsidR="00A61DAA">
        <w:rPr>
          <w:sz w:val="14"/>
          <w:szCs w:val="14"/>
        </w:rPr>
        <w:t>which we believe are a suitable proxy for the</w:t>
      </w:r>
      <w:r w:rsidRPr="00A721A4">
        <w:rPr>
          <w:sz w:val="14"/>
          <w:szCs w:val="14"/>
        </w:rPr>
        <w:t xml:space="preserve"> pooled fund investments held by the scheme.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989F" w14:textId="77777777" w:rsidR="00485FD6" w:rsidRPr="00485FD6" w:rsidRDefault="00485FD6">
    <w:pPr>
      <w:pStyle w:val="Header"/>
      <w:rPr>
        <w:color w:val="FFFFFF" w:themeColor="background1"/>
      </w:rPr>
    </w:pPr>
  </w:p>
  <w:p w14:paraId="27E9D3C5" w14:textId="77777777" w:rsidR="007C3A69" w:rsidRDefault="007C3A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F7A1220"/>
    <w:lvl w:ilvl="0">
      <w:start w:val="31"/>
      <w:numFmt w:val="bullet"/>
      <w:pStyle w:val="ListBullet5"/>
      <w:lvlText w:val="–"/>
      <w:lvlJc w:val="left"/>
      <w:pPr>
        <w:ind w:left="1492" w:hanging="360"/>
      </w:pPr>
      <w:rPr>
        <w:rFonts w:ascii="Arial" w:eastAsia="Times New Roman" w:hAnsi="Arial" w:hint="default"/>
      </w:rPr>
    </w:lvl>
  </w:abstractNum>
  <w:abstractNum w:abstractNumId="1" w15:restartNumberingAfterBreak="0">
    <w:nsid w:val="FFFFFF81"/>
    <w:multiLevelType w:val="singleLevel"/>
    <w:tmpl w:val="03A2BA0E"/>
    <w:lvl w:ilvl="0">
      <w:start w:val="31"/>
      <w:numFmt w:val="bullet"/>
      <w:pStyle w:val="ListBullet4"/>
      <w:lvlText w:val="–"/>
      <w:lvlJc w:val="left"/>
      <w:pPr>
        <w:ind w:left="1040" w:hanging="360"/>
      </w:pPr>
      <w:rPr>
        <w:rFonts w:ascii="Arial" w:eastAsia="Times New Roman" w:hAnsi="Arial" w:hint="default"/>
      </w:rPr>
    </w:lvl>
  </w:abstractNum>
  <w:abstractNum w:abstractNumId="2" w15:restartNumberingAfterBreak="0">
    <w:nsid w:val="FFFFFF82"/>
    <w:multiLevelType w:val="singleLevel"/>
    <w:tmpl w:val="0B9A7D00"/>
    <w:lvl w:ilvl="0">
      <w:start w:val="31"/>
      <w:numFmt w:val="bullet"/>
      <w:pStyle w:val="ListBullet3"/>
      <w:lvlText w:val="–"/>
      <w:lvlJc w:val="left"/>
      <w:pPr>
        <w:ind w:left="926" w:hanging="360"/>
      </w:pPr>
      <w:rPr>
        <w:rFonts w:ascii="Arial" w:eastAsia="Times New Roman" w:hAnsi="Arial" w:hint="default"/>
      </w:rPr>
    </w:lvl>
  </w:abstractNum>
  <w:abstractNum w:abstractNumId="3" w15:restartNumberingAfterBreak="0">
    <w:nsid w:val="FFFFFF83"/>
    <w:multiLevelType w:val="singleLevel"/>
    <w:tmpl w:val="9ACCF07C"/>
    <w:lvl w:ilvl="0">
      <w:start w:val="31"/>
      <w:numFmt w:val="bullet"/>
      <w:pStyle w:val="ListBullet2"/>
      <w:lvlText w:val="–"/>
      <w:lvlJc w:val="left"/>
      <w:pPr>
        <w:ind w:left="643" w:hanging="360"/>
      </w:pPr>
      <w:rPr>
        <w:rFonts w:ascii="Arial" w:eastAsia="Times New Roman" w:hAnsi="Arial" w:hint="default"/>
      </w:rPr>
    </w:lvl>
  </w:abstractNum>
  <w:abstractNum w:abstractNumId="4" w15:restartNumberingAfterBreak="0">
    <w:nsid w:val="FFFFFF89"/>
    <w:multiLevelType w:val="singleLevel"/>
    <w:tmpl w:val="6FA8F9A2"/>
    <w:lvl w:ilvl="0">
      <w:start w:val="31"/>
      <w:numFmt w:val="bullet"/>
      <w:pStyle w:val="ListBullet"/>
      <w:lvlText w:val="–"/>
      <w:lvlJc w:val="left"/>
      <w:pPr>
        <w:ind w:left="360" w:hanging="360"/>
      </w:pPr>
      <w:rPr>
        <w:rFonts w:ascii="Arial" w:eastAsia="Times New Roman" w:hAnsi="Arial" w:hint="default"/>
      </w:rPr>
    </w:lvl>
  </w:abstractNum>
  <w:abstractNum w:abstractNumId="5" w15:restartNumberingAfterBreak="0">
    <w:nsid w:val="0C0D02E5"/>
    <w:multiLevelType w:val="hybridMultilevel"/>
    <w:tmpl w:val="EB1042F6"/>
    <w:lvl w:ilvl="0" w:tplc="E1AAF8DE">
      <w:start w:val="1"/>
      <w:numFmt w:val="lowerRoman"/>
      <w:pStyle w:val="NumerallistBold"/>
      <w:lvlText w:val="%1."/>
      <w:lvlJc w:val="left"/>
      <w:pPr>
        <w:ind w:left="425" w:hanging="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F24AD3"/>
    <w:multiLevelType w:val="multilevel"/>
    <w:tmpl w:val="2EE0A220"/>
    <w:styleLink w:val="b17legalnumberedlist"/>
    <w:lvl w:ilvl="0">
      <w:start w:val="1"/>
      <w:numFmt w:val="decimal"/>
      <w:lvlText w:val="%1."/>
      <w:lvlJc w:val="left"/>
      <w:pPr>
        <w:ind w:left="709" w:hanging="709"/>
      </w:pPr>
      <w:rPr>
        <w:rFonts w:ascii="Noto Sans" w:hAnsi="Noto Sans" w:hint="default"/>
        <w:b/>
        <w:i w:val="0"/>
        <w:sz w:val="19"/>
        <w:u w:color="000000" w:themeColor="text1"/>
      </w:rPr>
    </w:lvl>
    <w:lvl w:ilvl="1">
      <w:start w:val="1"/>
      <w:numFmt w:val="decimal"/>
      <w:lvlText w:val="%1.%2"/>
      <w:lvlJc w:val="left"/>
      <w:pPr>
        <w:ind w:left="709" w:hanging="709"/>
      </w:pPr>
      <w:rPr>
        <w:rFonts w:ascii="Noto Sans" w:hAnsi="Noto Sans" w:hint="default"/>
        <w:b w:val="0"/>
        <w:i w:val="0"/>
        <w:sz w:val="19"/>
        <w:u w:color="000000" w:themeColor="text1"/>
      </w:rPr>
    </w:lvl>
    <w:lvl w:ilvl="2">
      <w:start w:val="1"/>
      <w:numFmt w:val="decimal"/>
      <w:lvlText w:val="%1.%2.%3"/>
      <w:lvlJc w:val="left"/>
      <w:pPr>
        <w:ind w:left="709" w:hanging="709"/>
      </w:pPr>
      <w:rPr>
        <w:rFonts w:ascii="Noto Sans" w:hAnsi="Noto Sans" w:hint="default"/>
        <w:b w:val="0"/>
        <w:i w:val="0"/>
        <w:sz w:val="19"/>
        <w:u w:color="000000" w:themeColor="text1"/>
      </w:rPr>
    </w:lvl>
    <w:lvl w:ilvl="3">
      <w:start w:val="1"/>
      <w:numFmt w:val="decimal"/>
      <w:lvlText w:val="%1.%2.%3.%4."/>
      <w:lvlJc w:val="left"/>
      <w:pPr>
        <w:ind w:left="3515" w:hanging="1247"/>
      </w:pPr>
      <w:rPr>
        <w:rFonts w:hint="default"/>
      </w:rPr>
    </w:lvl>
    <w:lvl w:ilvl="4">
      <w:start w:val="1"/>
      <w:numFmt w:val="decimal"/>
      <w:lvlText w:val="%1.%2.%3.%4.%5."/>
      <w:lvlJc w:val="left"/>
      <w:pPr>
        <w:ind w:left="2693" w:hanging="425"/>
      </w:pPr>
      <w:rPr>
        <w:rFonts w:hint="default"/>
      </w:rPr>
    </w:lvl>
    <w:lvl w:ilvl="5">
      <w:start w:val="1"/>
      <w:numFmt w:val="decimal"/>
      <w:lvlText w:val="%1.%2.%3.%4.%5.%6."/>
      <w:lvlJc w:val="left"/>
      <w:pPr>
        <w:ind w:left="3260" w:hanging="425"/>
      </w:pPr>
      <w:rPr>
        <w:rFonts w:hint="default"/>
      </w:rPr>
    </w:lvl>
    <w:lvl w:ilvl="6">
      <w:start w:val="1"/>
      <w:numFmt w:val="decimal"/>
      <w:lvlText w:val="%1.%2.%3.%4.%5.%6.%7."/>
      <w:lvlJc w:val="left"/>
      <w:pPr>
        <w:ind w:left="3827" w:hanging="425"/>
      </w:pPr>
      <w:rPr>
        <w:rFonts w:hint="default"/>
      </w:rPr>
    </w:lvl>
    <w:lvl w:ilvl="7">
      <w:start w:val="1"/>
      <w:numFmt w:val="decimal"/>
      <w:lvlText w:val="%1.%2.%3.%4.%5.%6.%7.%8."/>
      <w:lvlJc w:val="left"/>
      <w:pPr>
        <w:ind w:left="4394" w:hanging="425"/>
      </w:pPr>
      <w:rPr>
        <w:rFonts w:hint="default"/>
      </w:rPr>
    </w:lvl>
    <w:lvl w:ilvl="8">
      <w:start w:val="1"/>
      <w:numFmt w:val="decimal"/>
      <w:lvlText w:val="%1.%2.%3.%4.%5.%6.%7.%8.%9."/>
      <w:lvlJc w:val="left"/>
      <w:pPr>
        <w:ind w:left="4961" w:hanging="425"/>
      </w:pPr>
      <w:rPr>
        <w:rFonts w:hint="default"/>
      </w:rPr>
    </w:lvl>
  </w:abstractNum>
  <w:abstractNum w:abstractNumId="7" w15:restartNumberingAfterBreak="0">
    <w:nsid w:val="2A023F42"/>
    <w:multiLevelType w:val="hybridMultilevel"/>
    <w:tmpl w:val="4B767612"/>
    <w:lvl w:ilvl="0" w:tplc="27B0E32A">
      <w:start w:val="1"/>
      <w:numFmt w:val="lowerLetter"/>
      <w:pStyle w:val="LetteredlistRegular"/>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9A6D9E"/>
    <w:multiLevelType w:val="hybridMultilevel"/>
    <w:tmpl w:val="22B24B28"/>
    <w:lvl w:ilvl="0" w:tplc="1FDCA25A">
      <w:start w:val="1"/>
      <w:numFmt w:val="bullet"/>
      <w:lvlText w:val="–"/>
      <w:lvlJc w:val="left"/>
      <w:pPr>
        <w:ind w:left="360" w:hanging="360"/>
      </w:pPr>
      <w:rPr>
        <w:rFonts w:ascii="Arial" w:hAnsi="Arial" w:hint="default"/>
        <w:color w:val="001E41"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EE3C1F"/>
    <w:multiLevelType w:val="hybridMultilevel"/>
    <w:tmpl w:val="E9A4CD40"/>
    <w:lvl w:ilvl="0" w:tplc="95F69FC8">
      <w:start w:val="1"/>
      <w:numFmt w:val="lowerRoman"/>
      <w:pStyle w:val="NumerallistRegular"/>
      <w:lvlText w:val="%1."/>
      <w:lvlJc w:val="left"/>
      <w:pPr>
        <w:ind w:left="425" w:hanging="42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3B2480C"/>
    <w:multiLevelType w:val="singleLevel"/>
    <w:tmpl w:val="1FDCA25A"/>
    <w:lvl w:ilvl="0">
      <w:start w:val="1"/>
      <w:numFmt w:val="bullet"/>
      <w:pStyle w:val="BulletedtextRegular"/>
      <w:lvlText w:val="–"/>
      <w:lvlJc w:val="left"/>
      <w:pPr>
        <w:ind w:left="425" w:hanging="425"/>
      </w:pPr>
      <w:rPr>
        <w:rFonts w:ascii="Arial" w:hAnsi="Arial" w:hint="default"/>
      </w:rPr>
    </w:lvl>
  </w:abstractNum>
  <w:abstractNum w:abstractNumId="11" w15:restartNumberingAfterBreak="0">
    <w:nsid w:val="444964F6"/>
    <w:multiLevelType w:val="hybridMultilevel"/>
    <w:tmpl w:val="F74E0BBA"/>
    <w:lvl w:ilvl="0" w:tplc="739A4FD4">
      <w:start w:val="1"/>
      <w:numFmt w:val="bullet"/>
      <w:lvlText w:val="-"/>
      <w:lvlJc w:val="left"/>
      <w:pPr>
        <w:ind w:left="720" w:hanging="360"/>
      </w:pPr>
      <w:rPr>
        <w:rFonts w:ascii="Noto Sans" w:hAnsi="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6F2E1C"/>
    <w:multiLevelType w:val="multilevel"/>
    <w:tmpl w:val="7AC43B3A"/>
    <w:lvl w:ilvl="0">
      <w:start w:val="1"/>
      <w:numFmt w:val="decimal"/>
      <w:pStyle w:val="Multilevellist1ToC"/>
      <w:lvlText w:val="%1."/>
      <w:lvlJc w:val="left"/>
      <w:pPr>
        <w:ind w:left="851" w:hanging="851"/>
      </w:pPr>
      <w:rPr>
        <w:rFonts w:hint="default"/>
      </w:rPr>
    </w:lvl>
    <w:lvl w:ilvl="1">
      <w:start w:val="1"/>
      <w:numFmt w:val="decimal"/>
      <w:pStyle w:val="Multilevellistlevel2ToC"/>
      <w:lvlText w:val="%1.%2"/>
      <w:lvlJc w:val="left"/>
      <w:pPr>
        <w:ind w:left="851" w:hanging="851"/>
      </w:pPr>
      <w:rPr>
        <w:rFonts w:hint="default"/>
      </w:rPr>
    </w:lvl>
    <w:lvl w:ilvl="2">
      <w:start w:val="1"/>
      <w:numFmt w:val="decimal"/>
      <w:pStyle w:val="Multilevellistlevel3"/>
      <w:lvlText w:val="%1.%2.%3"/>
      <w:lvlJc w:val="left"/>
      <w:pPr>
        <w:ind w:left="851" w:hanging="851"/>
      </w:pPr>
      <w:rPr>
        <w:rFonts w:hint="default"/>
      </w:rPr>
    </w:lvl>
    <w:lvl w:ilvl="3">
      <w:start w:val="1"/>
      <w:numFmt w:val="decimal"/>
      <w:pStyle w:val="Multilevellistlevel4"/>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3" w15:restartNumberingAfterBreak="0">
    <w:nsid w:val="4D4470B5"/>
    <w:multiLevelType w:val="singleLevel"/>
    <w:tmpl w:val="78028784"/>
    <w:lvl w:ilvl="0">
      <w:start w:val="1"/>
      <w:numFmt w:val="decimal"/>
      <w:pStyle w:val="NumberedlistRegular"/>
      <w:lvlText w:val="%1."/>
      <w:lvlJc w:val="left"/>
      <w:pPr>
        <w:ind w:left="425" w:hanging="425"/>
      </w:pPr>
      <w:rPr>
        <w:rFonts w:hint="default"/>
      </w:rPr>
    </w:lvl>
  </w:abstractNum>
  <w:abstractNum w:abstractNumId="14" w15:restartNumberingAfterBreak="0">
    <w:nsid w:val="51C950BC"/>
    <w:multiLevelType w:val="multilevel"/>
    <w:tmpl w:val="2C2CE398"/>
    <w:lvl w:ilvl="0">
      <w:start w:val="1"/>
      <w:numFmt w:val="decimal"/>
      <w:pStyle w:val="SectiontitlenumberedToC"/>
      <w:lvlText w:val="Section %1"/>
      <w:lvlJc w:val="left"/>
      <w:pPr>
        <w:ind w:left="3828" w:hanging="2126"/>
      </w:pPr>
    </w:lvl>
    <w:lvl w:ilvl="1">
      <w:start w:val="1"/>
      <w:numFmt w:val="decimal"/>
      <w:lvlText w:val="%1.%2"/>
      <w:lvlJc w:val="left"/>
      <w:pPr>
        <w:ind w:left="425"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FA217FA"/>
    <w:multiLevelType w:val="multilevel"/>
    <w:tmpl w:val="8B56D8A0"/>
    <w:lvl w:ilvl="0">
      <w:start w:val="1"/>
      <w:numFmt w:val="decimal"/>
      <w:pStyle w:val="AppendixtitleToC"/>
      <w:lvlText w:val="Appendix %1"/>
      <w:lvlJc w:val="left"/>
      <w:pPr>
        <w:ind w:left="2552" w:hanging="255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807"/>
        </w:tabs>
        <w:ind w:left="2807" w:hanging="680"/>
      </w:pPr>
      <w:rPr>
        <w:rFonts w:hint="default"/>
      </w:rPr>
    </w:lvl>
    <w:lvl w:ilvl="2">
      <w:start w:val="1"/>
      <w:numFmt w:val="decimal"/>
      <w:lvlText w:val="%1.%2.%3"/>
      <w:lvlJc w:val="left"/>
      <w:pPr>
        <w:tabs>
          <w:tab w:val="num" w:pos="3207"/>
        </w:tabs>
        <w:ind w:left="2807" w:hanging="680"/>
      </w:pPr>
      <w:rPr>
        <w:rFonts w:hint="default"/>
      </w:rPr>
    </w:lvl>
    <w:lvl w:ilvl="3">
      <w:start w:val="1"/>
      <w:numFmt w:val="lowerRoman"/>
      <w:lvlText w:val="%4)"/>
      <w:lvlJc w:val="left"/>
      <w:pPr>
        <w:tabs>
          <w:tab w:val="num" w:pos="2694"/>
        </w:tabs>
        <w:ind w:left="2694"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isLgl/>
      <w:suff w:val="nothing"/>
      <w:lvlText w:val=""/>
      <w:lvlJc w:val="left"/>
      <w:pPr>
        <w:ind w:left="2694" w:hanging="567"/>
      </w:pPr>
      <w:rPr>
        <w:rFonts w:hint="default"/>
      </w:rPr>
    </w:lvl>
    <w:lvl w:ilvl="5">
      <w:start w:val="1"/>
      <w:numFmt w:val="decimal"/>
      <w:lvlText w:val="%1.%2.%3.%4.%5.%6"/>
      <w:lvlJc w:val="left"/>
      <w:pPr>
        <w:tabs>
          <w:tab w:val="num" w:pos="3279"/>
        </w:tabs>
        <w:ind w:left="3279" w:hanging="1152"/>
      </w:pPr>
      <w:rPr>
        <w:rFonts w:hint="default"/>
      </w:rPr>
    </w:lvl>
    <w:lvl w:ilvl="6">
      <w:start w:val="1"/>
      <w:numFmt w:val="none"/>
      <w:lvlText w:val=""/>
      <w:lvlJc w:val="left"/>
      <w:pPr>
        <w:tabs>
          <w:tab w:val="num" w:pos="3423"/>
        </w:tabs>
        <w:ind w:left="3423" w:hanging="1296"/>
      </w:pPr>
      <w:rPr>
        <w:rFonts w:hint="default"/>
      </w:rPr>
    </w:lvl>
    <w:lvl w:ilvl="7">
      <w:start w:val="1"/>
      <w:numFmt w:val="decimal"/>
      <w:lvlText w:val="%1.%2.%3.%4.%5.%6.%7.%8"/>
      <w:lvlJc w:val="left"/>
      <w:pPr>
        <w:tabs>
          <w:tab w:val="num" w:pos="3567"/>
        </w:tabs>
        <w:ind w:left="3567" w:hanging="1440"/>
      </w:pPr>
      <w:rPr>
        <w:rFonts w:hint="default"/>
      </w:rPr>
    </w:lvl>
    <w:lvl w:ilvl="8">
      <w:start w:val="1"/>
      <w:numFmt w:val="none"/>
      <w:lvlText w:val=""/>
      <w:lvlJc w:val="left"/>
      <w:pPr>
        <w:tabs>
          <w:tab w:val="num" w:pos="4962"/>
        </w:tabs>
        <w:ind w:left="4962" w:hanging="2835"/>
      </w:pPr>
      <w:rPr>
        <w:rFonts w:hint="default"/>
      </w:rPr>
    </w:lvl>
  </w:abstractNum>
  <w:abstractNum w:abstractNumId="16" w15:restartNumberingAfterBreak="0">
    <w:nsid w:val="71687B86"/>
    <w:multiLevelType w:val="hybridMultilevel"/>
    <w:tmpl w:val="1F4AAE2E"/>
    <w:lvl w:ilvl="0" w:tplc="739A4FD4">
      <w:start w:val="1"/>
      <w:numFmt w:val="bullet"/>
      <w:lvlText w:val="-"/>
      <w:lvlJc w:val="left"/>
      <w:pPr>
        <w:ind w:left="720" w:hanging="360"/>
      </w:pPr>
      <w:rPr>
        <w:rFonts w:ascii="Noto Sans" w:hAnsi="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2351C0"/>
    <w:multiLevelType w:val="hybridMultilevel"/>
    <w:tmpl w:val="32EACC82"/>
    <w:lvl w:ilvl="0" w:tplc="2BF6EAD4">
      <w:start w:val="31"/>
      <w:numFmt w:val="bullet"/>
      <w:pStyle w:val="Tabletext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40654F"/>
    <w:multiLevelType w:val="hybridMultilevel"/>
    <w:tmpl w:val="F4CA6970"/>
    <w:lvl w:ilvl="0" w:tplc="6EA07572">
      <w:start w:val="1"/>
      <w:numFmt w:val="bullet"/>
      <w:pStyle w:val="Sub-bulletedtex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B01E4B"/>
    <w:multiLevelType w:val="hybridMultilevel"/>
    <w:tmpl w:val="D3C4BBB4"/>
    <w:lvl w:ilvl="0" w:tplc="044E95A2">
      <w:start w:val="1"/>
      <w:numFmt w:val="lowerLetter"/>
      <w:pStyle w:val="LetteredlistBold"/>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806123">
    <w:abstractNumId w:val="4"/>
  </w:num>
  <w:num w:numId="2" w16cid:durableId="1077482466">
    <w:abstractNumId w:val="3"/>
  </w:num>
  <w:num w:numId="3" w16cid:durableId="467404019">
    <w:abstractNumId w:val="2"/>
  </w:num>
  <w:num w:numId="4" w16cid:durableId="404765174">
    <w:abstractNumId w:val="1"/>
  </w:num>
  <w:num w:numId="5" w16cid:durableId="1313488688">
    <w:abstractNumId w:val="0"/>
  </w:num>
  <w:num w:numId="6" w16cid:durableId="100271668">
    <w:abstractNumId w:val="10"/>
  </w:num>
  <w:num w:numId="7" w16cid:durableId="1595939290">
    <w:abstractNumId w:val="13"/>
  </w:num>
  <w:num w:numId="8" w16cid:durableId="1160923921">
    <w:abstractNumId w:val="7"/>
  </w:num>
  <w:num w:numId="9" w16cid:durableId="117572224">
    <w:abstractNumId w:val="14"/>
  </w:num>
  <w:num w:numId="10" w16cid:durableId="1407729630">
    <w:abstractNumId w:val="19"/>
  </w:num>
  <w:num w:numId="11" w16cid:durableId="130561703">
    <w:abstractNumId w:val="5"/>
  </w:num>
  <w:num w:numId="12" w16cid:durableId="1949774972">
    <w:abstractNumId w:val="9"/>
  </w:num>
  <w:num w:numId="13" w16cid:durableId="392042081">
    <w:abstractNumId w:val="17"/>
  </w:num>
  <w:num w:numId="14" w16cid:durableId="1647391129">
    <w:abstractNumId w:val="15"/>
  </w:num>
  <w:num w:numId="15" w16cid:durableId="1342391015">
    <w:abstractNumId w:val="6"/>
  </w:num>
  <w:num w:numId="16" w16cid:durableId="1491756177">
    <w:abstractNumId w:val="18"/>
  </w:num>
  <w:num w:numId="17" w16cid:durableId="1106388310">
    <w:abstractNumId w:val="12"/>
  </w:num>
  <w:num w:numId="18" w16cid:durableId="1163006447">
    <w:abstractNumId w:val="8"/>
  </w:num>
  <w:num w:numId="19" w16cid:durableId="14695199">
    <w:abstractNumId w:val="11"/>
  </w:num>
  <w:num w:numId="20" w16cid:durableId="146871643">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B1B"/>
    <w:rsid w:val="00000BBB"/>
    <w:rsid w:val="000066AB"/>
    <w:rsid w:val="00006AD1"/>
    <w:rsid w:val="00012EB8"/>
    <w:rsid w:val="00013CD9"/>
    <w:rsid w:val="00014018"/>
    <w:rsid w:val="00014C4F"/>
    <w:rsid w:val="00015DFD"/>
    <w:rsid w:val="00016394"/>
    <w:rsid w:val="00026731"/>
    <w:rsid w:val="000311FB"/>
    <w:rsid w:val="000365C9"/>
    <w:rsid w:val="00040717"/>
    <w:rsid w:val="00041E89"/>
    <w:rsid w:val="00046CC9"/>
    <w:rsid w:val="0004770C"/>
    <w:rsid w:val="000511CE"/>
    <w:rsid w:val="00051AFE"/>
    <w:rsid w:val="00055EC6"/>
    <w:rsid w:val="00056072"/>
    <w:rsid w:val="00056D6A"/>
    <w:rsid w:val="00057239"/>
    <w:rsid w:val="00060D93"/>
    <w:rsid w:val="000613AD"/>
    <w:rsid w:val="00062761"/>
    <w:rsid w:val="00062ECD"/>
    <w:rsid w:val="0006657D"/>
    <w:rsid w:val="00076A47"/>
    <w:rsid w:val="000815E4"/>
    <w:rsid w:val="00085242"/>
    <w:rsid w:val="0008623E"/>
    <w:rsid w:val="00086792"/>
    <w:rsid w:val="00094952"/>
    <w:rsid w:val="000970E0"/>
    <w:rsid w:val="000A140C"/>
    <w:rsid w:val="000A5750"/>
    <w:rsid w:val="000B1056"/>
    <w:rsid w:val="000B545A"/>
    <w:rsid w:val="000B5DA8"/>
    <w:rsid w:val="000B6560"/>
    <w:rsid w:val="000B6ABA"/>
    <w:rsid w:val="000B7240"/>
    <w:rsid w:val="000C6F13"/>
    <w:rsid w:val="000D05B8"/>
    <w:rsid w:val="000D5417"/>
    <w:rsid w:val="000D67CD"/>
    <w:rsid w:val="000D7748"/>
    <w:rsid w:val="000D7AD1"/>
    <w:rsid w:val="000E31CE"/>
    <w:rsid w:val="000E4302"/>
    <w:rsid w:val="000E77A1"/>
    <w:rsid w:val="000F197A"/>
    <w:rsid w:val="000F66A2"/>
    <w:rsid w:val="00101343"/>
    <w:rsid w:val="0010159F"/>
    <w:rsid w:val="001019D9"/>
    <w:rsid w:val="00103B62"/>
    <w:rsid w:val="00105004"/>
    <w:rsid w:val="001050D4"/>
    <w:rsid w:val="001071F5"/>
    <w:rsid w:val="0011206B"/>
    <w:rsid w:val="00113E2B"/>
    <w:rsid w:val="00115FCA"/>
    <w:rsid w:val="00117130"/>
    <w:rsid w:val="001175A5"/>
    <w:rsid w:val="00120C55"/>
    <w:rsid w:val="00122363"/>
    <w:rsid w:val="00123F8A"/>
    <w:rsid w:val="001267A0"/>
    <w:rsid w:val="00131698"/>
    <w:rsid w:val="00133CE4"/>
    <w:rsid w:val="001359C5"/>
    <w:rsid w:val="00135CDB"/>
    <w:rsid w:val="00136166"/>
    <w:rsid w:val="00136A48"/>
    <w:rsid w:val="00144CB5"/>
    <w:rsid w:val="00152D52"/>
    <w:rsid w:val="00153577"/>
    <w:rsid w:val="001539A8"/>
    <w:rsid w:val="00160212"/>
    <w:rsid w:val="00160E60"/>
    <w:rsid w:val="00170AFE"/>
    <w:rsid w:val="0017343D"/>
    <w:rsid w:val="00173927"/>
    <w:rsid w:val="0017402C"/>
    <w:rsid w:val="00176772"/>
    <w:rsid w:val="001827B2"/>
    <w:rsid w:val="00185C98"/>
    <w:rsid w:val="00186DEB"/>
    <w:rsid w:val="00190513"/>
    <w:rsid w:val="001A2352"/>
    <w:rsid w:val="001A3E3C"/>
    <w:rsid w:val="001A4092"/>
    <w:rsid w:val="001A5B7D"/>
    <w:rsid w:val="001B725E"/>
    <w:rsid w:val="001C4AC6"/>
    <w:rsid w:val="001C4C02"/>
    <w:rsid w:val="001C5000"/>
    <w:rsid w:val="001C6156"/>
    <w:rsid w:val="001D1627"/>
    <w:rsid w:val="001D242A"/>
    <w:rsid w:val="001D4D52"/>
    <w:rsid w:val="001D56B5"/>
    <w:rsid w:val="001D76C8"/>
    <w:rsid w:val="001E12B0"/>
    <w:rsid w:val="001E3265"/>
    <w:rsid w:val="001E3E47"/>
    <w:rsid w:val="001E696A"/>
    <w:rsid w:val="001E6E49"/>
    <w:rsid w:val="001F4DB1"/>
    <w:rsid w:val="001F5ABE"/>
    <w:rsid w:val="00200182"/>
    <w:rsid w:val="002030CE"/>
    <w:rsid w:val="00203BB4"/>
    <w:rsid w:val="0020663D"/>
    <w:rsid w:val="002106ED"/>
    <w:rsid w:val="0021191F"/>
    <w:rsid w:val="00212B0E"/>
    <w:rsid w:val="002143B6"/>
    <w:rsid w:val="002143FC"/>
    <w:rsid w:val="002148BE"/>
    <w:rsid w:val="00215B52"/>
    <w:rsid w:val="00215D02"/>
    <w:rsid w:val="00215E90"/>
    <w:rsid w:val="002207B2"/>
    <w:rsid w:val="00224392"/>
    <w:rsid w:val="00230355"/>
    <w:rsid w:val="0023392D"/>
    <w:rsid w:val="002345DF"/>
    <w:rsid w:val="002360B9"/>
    <w:rsid w:val="00237DC8"/>
    <w:rsid w:val="002422D1"/>
    <w:rsid w:val="00244A21"/>
    <w:rsid w:val="00247837"/>
    <w:rsid w:val="0025123E"/>
    <w:rsid w:val="002512E7"/>
    <w:rsid w:val="00251481"/>
    <w:rsid w:val="00251540"/>
    <w:rsid w:val="002532F4"/>
    <w:rsid w:val="00254016"/>
    <w:rsid w:val="00254DE8"/>
    <w:rsid w:val="00255933"/>
    <w:rsid w:val="00261A9F"/>
    <w:rsid w:val="00261D48"/>
    <w:rsid w:val="00261FA2"/>
    <w:rsid w:val="002644A8"/>
    <w:rsid w:val="00265C1D"/>
    <w:rsid w:val="002670C0"/>
    <w:rsid w:val="002675CD"/>
    <w:rsid w:val="00273856"/>
    <w:rsid w:val="002756AE"/>
    <w:rsid w:val="00275709"/>
    <w:rsid w:val="002904BF"/>
    <w:rsid w:val="00292396"/>
    <w:rsid w:val="00292E5F"/>
    <w:rsid w:val="0029401F"/>
    <w:rsid w:val="00296521"/>
    <w:rsid w:val="002A3AD0"/>
    <w:rsid w:val="002A7262"/>
    <w:rsid w:val="002A73C3"/>
    <w:rsid w:val="002B0A37"/>
    <w:rsid w:val="002B6056"/>
    <w:rsid w:val="002B72DE"/>
    <w:rsid w:val="002C0DB8"/>
    <w:rsid w:val="002C2E67"/>
    <w:rsid w:val="002C5208"/>
    <w:rsid w:val="002D0310"/>
    <w:rsid w:val="002D21E6"/>
    <w:rsid w:val="002D6067"/>
    <w:rsid w:val="002E34EF"/>
    <w:rsid w:val="002E399F"/>
    <w:rsid w:val="002F0B30"/>
    <w:rsid w:val="002F26F0"/>
    <w:rsid w:val="002F2A65"/>
    <w:rsid w:val="002F39CD"/>
    <w:rsid w:val="002F4DA3"/>
    <w:rsid w:val="002F74D8"/>
    <w:rsid w:val="002F7A2F"/>
    <w:rsid w:val="002F7A5A"/>
    <w:rsid w:val="003021A1"/>
    <w:rsid w:val="003032C4"/>
    <w:rsid w:val="00306036"/>
    <w:rsid w:val="003148F6"/>
    <w:rsid w:val="003155DE"/>
    <w:rsid w:val="0031660A"/>
    <w:rsid w:val="00324A89"/>
    <w:rsid w:val="00326AC1"/>
    <w:rsid w:val="00330C4F"/>
    <w:rsid w:val="00330ECD"/>
    <w:rsid w:val="00334352"/>
    <w:rsid w:val="00334AE9"/>
    <w:rsid w:val="00337330"/>
    <w:rsid w:val="00337662"/>
    <w:rsid w:val="00340E01"/>
    <w:rsid w:val="00356434"/>
    <w:rsid w:val="00357B1B"/>
    <w:rsid w:val="00357DFA"/>
    <w:rsid w:val="003601F8"/>
    <w:rsid w:val="003617E1"/>
    <w:rsid w:val="0036275A"/>
    <w:rsid w:val="003636A5"/>
    <w:rsid w:val="00365A78"/>
    <w:rsid w:val="00366130"/>
    <w:rsid w:val="00366D7C"/>
    <w:rsid w:val="00367B4F"/>
    <w:rsid w:val="00376F3A"/>
    <w:rsid w:val="003817CA"/>
    <w:rsid w:val="00381830"/>
    <w:rsid w:val="00382A9B"/>
    <w:rsid w:val="00384AD6"/>
    <w:rsid w:val="003A0C38"/>
    <w:rsid w:val="003A40B7"/>
    <w:rsid w:val="003A446D"/>
    <w:rsid w:val="003A606E"/>
    <w:rsid w:val="003A6D9D"/>
    <w:rsid w:val="003B00BA"/>
    <w:rsid w:val="003B2448"/>
    <w:rsid w:val="003B37CC"/>
    <w:rsid w:val="003B50FB"/>
    <w:rsid w:val="003B703D"/>
    <w:rsid w:val="003C0CD2"/>
    <w:rsid w:val="003C1F29"/>
    <w:rsid w:val="003C3A04"/>
    <w:rsid w:val="003C3F7A"/>
    <w:rsid w:val="003C50E5"/>
    <w:rsid w:val="003C72E3"/>
    <w:rsid w:val="003D1111"/>
    <w:rsid w:val="003D1C1E"/>
    <w:rsid w:val="003D2EA9"/>
    <w:rsid w:val="003D4F6F"/>
    <w:rsid w:val="003D5D0E"/>
    <w:rsid w:val="003D7212"/>
    <w:rsid w:val="003E323D"/>
    <w:rsid w:val="003F1EF2"/>
    <w:rsid w:val="003F25ED"/>
    <w:rsid w:val="003F4E45"/>
    <w:rsid w:val="00403C7E"/>
    <w:rsid w:val="00412401"/>
    <w:rsid w:val="004133D0"/>
    <w:rsid w:val="00416889"/>
    <w:rsid w:val="00422A46"/>
    <w:rsid w:val="00423642"/>
    <w:rsid w:val="0042739D"/>
    <w:rsid w:val="00433FCA"/>
    <w:rsid w:val="0043538C"/>
    <w:rsid w:val="00435A0E"/>
    <w:rsid w:val="00435DC1"/>
    <w:rsid w:val="00443936"/>
    <w:rsid w:val="004446F0"/>
    <w:rsid w:val="0044478A"/>
    <w:rsid w:val="004448D5"/>
    <w:rsid w:val="00446F6F"/>
    <w:rsid w:val="00452BB6"/>
    <w:rsid w:val="00453DFC"/>
    <w:rsid w:val="004546D2"/>
    <w:rsid w:val="00462EED"/>
    <w:rsid w:val="0046649D"/>
    <w:rsid w:val="00473F3E"/>
    <w:rsid w:val="00474AE4"/>
    <w:rsid w:val="00474EB4"/>
    <w:rsid w:val="00475073"/>
    <w:rsid w:val="0047697F"/>
    <w:rsid w:val="00480DC5"/>
    <w:rsid w:val="0048127F"/>
    <w:rsid w:val="00484F0C"/>
    <w:rsid w:val="004852EF"/>
    <w:rsid w:val="00485FD6"/>
    <w:rsid w:val="004862CA"/>
    <w:rsid w:val="00494198"/>
    <w:rsid w:val="004945C4"/>
    <w:rsid w:val="0049474E"/>
    <w:rsid w:val="00494A52"/>
    <w:rsid w:val="00495E9C"/>
    <w:rsid w:val="004977F0"/>
    <w:rsid w:val="004A67AA"/>
    <w:rsid w:val="004B1226"/>
    <w:rsid w:val="004B1676"/>
    <w:rsid w:val="004B375F"/>
    <w:rsid w:val="004C4C33"/>
    <w:rsid w:val="004C599D"/>
    <w:rsid w:val="004C7145"/>
    <w:rsid w:val="004D0534"/>
    <w:rsid w:val="004D05CE"/>
    <w:rsid w:val="004D2334"/>
    <w:rsid w:val="004D3F36"/>
    <w:rsid w:val="004E0B51"/>
    <w:rsid w:val="004E4F03"/>
    <w:rsid w:val="004E59AB"/>
    <w:rsid w:val="004E73B1"/>
    <w:rsid w:val="004F26C7"/>
    <w:rsid w:val="004F5589"/>
    <w:rsid w:val="004F6427"/>
    <w:rsid w:val="004F6A4B"/>
    <w:rsid w:val="004F6F5D"/>
    <w:rsid w:val="00500998"/>
    <w:rsid w:val="005018DD"/>
    <w:rsid w:val="00503F3F"/>
    <w:rsid w:val="00514173"/>
    <w:rsid w:val="00514378"/>
    <w:rsid w:val="0052445B"/>
    <w:rsid w:val="005245EE"/>
    <w:rsid w:val="00526D4D"/>
    <w:rsid w:val="005324B8"/>
    <w:rsid w:val="00535FD1"/>
    <w:rsid w:val="005366B0"/>
    <w:rsid w:val="00540DC6"/>
    <w:rsid w:val="005439D4"/>
    <w:rsid w:val="005464F6"/>
    <w:rsid w:val="00550505"/>
    <w:rsid w:val="00550DC0"/>
    <w:rsid w:val="00551985"/>
    <w:rsid w:val="0055431D"/>
    <w:rsid w:val="005546BE"/>
    <w:rsid w:val="00561F58"/>
    <w:rsid w:val="005620C1"/>
    <w:rsid w:val="005634D5"/>
    <w:rsid w:val="00571260"/>
    <w:rsid w:val="00572169"/>
    <w:rsid w:val="005735B5"/>
    <w:rsid w:val="00576E76"/>
    <w:rsid w:val="00583507"/>
    <w:rsid w:val="005842C2"/>
    <w:rsid w:val="00586DC3"/>
    <w:rsid w:val="005874A8"/>
    <w:rsid w:val="00590BE3"/>
    <w:rsid w:val="005910AA"/>
    <w:rsid w:val="005914B3"/>
    <w:rsid w:val="00594209"/>
    <w:rsid w:val="00594D5F"/>
    <w:rsid w:val="0059592F"/>
    <w:rsid w:val="00597405"/>
    <w:rsid w:val="005A1002"/>
    <w:rsid w:val="005A1AC5"/>
    <w:rsid w:val="005A2E6C"/>
    <w:rsid w:val="005A3CB0"/>
    <w:rsid w:val="005A4B5A"/>
    <w:rsid w:val="005A4D23"/>
    <w:rsid w:val="005B0158"/>
    <w:rsid w:val="005B03FD"/>
    <w:rsid w:val="005B2A9E"/>
    <w:rsid w:val="005B45E5"/>
    <w:rsid w:val="005B4655"/>
    <w:rsid w:val="005B67EA"/>
    <w:rsid w:val="005C3571"/>
    <w:rsid w:val="005C5369"/>
    <w:rsid w:val="005C5FDA"/>
    <w:rsid w:val="005C6B6B"/>
    <w:rsid w:val="005C7198"/>
    <w:rsid w:val="005C7E38"/>
    <w:rsid w:val="005D3256"/>
    <w:rsid w:val="005D3482"/>
    <w:rsid w:val="005E05B9"/>
    <w:rsid w:val="005E3FBD"/>
    <w:rsid w:val="005F0E66"/>
    <w:rsid w:val="005F1C39"/>
    <w:rsid w:val="005F3A44"/>
    <w:rsid w:val="005F4DBF"/>
    <w:rsid w:val="005F4F1C"/>
    <w:rsid w:val="005F5CA8"/>
    <w:rsid w:val="005F7CFF"/>
    <w:rsid w:val="005F7F3D"/>
    <w:rsid w:val="006063B8"/>
    <w:rsid w:val="0061033A"/>
    <w:rsid w:val="00611151"/>
    <w:rsid w:val="006163B2"/>
    <w:rsid w:val="00617938"/>
    <w:rsid w:val="0062114D"/>
    <w:rsid w:val="006214CD"/>
    <w:rsid w:val="0062582E"/>
    <w:rsid w:val="00625E0A"/>
    <w:rsid w:val="00626240"/>
    <w:rsid w:val="00627A32"/>
    <w:rsid w:val="00633D29"/>
    <w:rsid w:val="00636DBC"/>
    <w:rsid w:val="00636F65"/>
    <w:rsid w:val="00637EBC"/>
    <w:rsid w:val="00640D21"/>
    <w:rsid w:val="00644F77"/>
    <w:rsid w:val="00646571"/>
    <w:rsid w:val="006505FC"/>
    <w:rsid w:val="00650BE3"/>
    <w:rsid w:val="00651E88"/>
    <w:rsid w:val="00652F60"/>
    <w:rsid w:val="00654BA1"/>
    <w:rsid w:val="0065793A"/>
    <w:rsid w:val="00661091"/>
    <w:rsid w:val="00662B2F"/>
    <w:rsid w:val="0066382F"/>
    <w:rsid w:val="00666F49"/>
    <w:rsid w:val="00671347"/>
    <w:rsid w:val="00673F64"/>
    <w:rsid w:val="00676723"/>
    <w:rsid w:val="00680AA3"/>
    <w:rsid w:val="00680F2B"/>
    <w:rsid w:val="006847CC"/>
    <w:rsid w:val="0068597C"/>
    <w:rsid w:val="00691B79"/>
    <w:rsid w:val="00691DC6"/>
    <w:rsid w:val="00694034"/>
    <w:rsid w:val="00696387"/>
    <w:rsid w:val="006A48FC"/>
    <w:rsid w:val="006A7E51"/>
    <w:rsid w:val="006B0BBA"/>
    <w:rsid w:val="006B1034"/>
    <w:rsid w:val="006B1328"/>
    <w:rsid w:val="006B3A65"/>
    <w:rsid w:val="006B4DC7"/>
    <w:rsid w:val="006B4E07"/>
    <w:rsid w:val="006B57C8"/>
    <w:rsid w:val="006B6710"/>
    <w:rsid w:val="006C10EB"/>
    <w:rsid w:val="006C2672"/>
    <w:rsid w:val="006C2BB6"/>
    <w:rsid w:val="006C6A5A"/>
    <w:rsid w:val="006C6C19"/>
    <w:rsid w:val="006C6CBC"/>
    <w:rsid w:val="006D284E"/>
    <w:rsid w:val="006D29F4"/>
    <w:rsid w:val="006D31C5"/>
    <w:rsid w:val="006D3288"/>
    <w:rsid w:val="006D4125"/>
    <w:rsid w:val="006D570E"/>
    <w:rsid w:val="006D5D29"/>
    <w:rsid w:val="006D6432"/>
    <w:rsid w:val="006D7E78"/>
    <w:rsid w:val="006E428D"/>
    <w:rsid w:val="006E4E31"/>
    <w:rsid w:val="006E5A6D"/>
    <w:rsid w:val="006E6941"/>
    <w:rsid w:val="006F2330"/>
    <w:rsid w:val="006F3CAA"/>
    <w:rsid w:val="006F5CD9"/>
    <w:rsid w:val="006F6E31"/>
    <w:rsid w:val="006F71F5"/>
    <w:rsid w:val="00700CA4"/>
    <w:rsid w:val="00706448"/>
    <w:rsid w:val="00710887"/>
    <w:rsid w:val="00713B89"/>
    <w:rsid w:val="00722A4D"/>
    <w:rsid w:val="007235E9"/>
    <w:rsid w:val="00724E01"/>
    <w:rsid w:val="007263C8"/>
    <w:rsid w:val="0073284C"/>
    <w:rsid w:val="00735228"/>
    <w:rsid w:val="007355C3"/>
    <w:rsid w:val="0073730E"/>
    <w:rsid w:val="00737A04"/>
    <w:rsid w:val="0074118D"/>
    <w:rsid w:val="007463F9"/>
    <w:rsid w:val="007509CC"/>
    <w:rsid w:val="00751579"/>
    <w:rsid w:val="00751FF8"/>
    <w:rsid w:val="007549FF"/>
    <w:rsid w:val="007560CF"/>
    <w:rsid w:val="00761097"/>
    <w:rsid w:val="00761BE9"/>
    <w:rsid w:val="0076391F"/>
    <w:rsid w:val="00764B29"/>
    <w:rsid w:val="00771CE5"/>
    <w:rsid w:val="0077653F"/>
    <w:rsid w:val="007811D0"/>
    <w:rsid w:val="00782FF8"/>
    <w:rsid w:val="0078653E"/>
    <w:rsid w:val="0079015D"/>
    <w:rsid w:val="00794C19"/>
    <w:rsid w:val="007A072C"/>
    <w:rsid w:val="007A2574"/>
    <w:rsid w:val="007A34BC"/>
    <w:rsid w:val="007A7B54"/>
    <w:rsid w:val="007B7BF9"/>
    <w:rsid w:val="007C1B75"/>
    <w:rsid w:val="007C1FC2"/>
    <w:rsid w:val="007C2242"/>
    <w:rsid w:val="007C3A69"/>
    <w:rsid w:val="007C3C4F"/>
    <w:rsid w:val="007C3C97"/>
    <w:rsid w:val="007C3E28"/>
    <w:rsid w:val="007C59FD"/>
    <w:rsid w:val="007C6EDB"/>
    <w:rsid w:val="007D06F1"/>
    <w:rsid w:val="007D53C1"/>
    <w:rsid w:val="007D652F"/>
    <w:rsid w:val="007E0365"/>
    <w:rsid w:val="007E2415"/>
    <w:rsid w:val="007E348A"/>
    <w:rsid w:val="007E6575"/>
    <w:rsid w:val="007E7A85"/>
    <w:rsid w:val="007F2048"/>
    <w:rsid w:val="007F2759"/>
    <w:rsid w:val="007F43CB"/>
    <w:rsid w:val="007F4DF0"/>
    <w:rsid w:val="007F6140"/>
    <w:rsid w:val="007F6D44"/>
    <w:rsid w:val="007F7155"/>
    <w:rsid w:val="007F71D1"/>
    <w:rsid w:val="0080174C"/>
    <w:rsid w:val="00802D34"/>
    <w:rsid w:val="008040F0"/>
    <w:rsid w:val="0080713F"/>
    <w:rsid w:val="00807892"/>
    <w:rsid w:val="00811849"/>
    <w:rsid w:val="00812588"/>
    <w:rsid w:val="00823314"/>
    <w:rsid w:val="00826A9D"/>
    <w:rsid w:val="00831393"/>
    <w:rsid w:val="00833109"/>
    <w:rsid w:val="00833B57"/>
    <w:rsid w:val="00833BAC"/>
    <w:rsid w:val="00837462"/>
    <w:rsid w:val="00846432"/>
    <w:rsid w:val="00852519"/>
    <w:rsid w:val="00852601"/>
    <w:rsid w:val="00852674"/>
    <w:rsid w:val="008623B6"/>
    <w:rsid w:val="008655A3"/>
    <w:rsid w:val="00867737"/>
    <w:rsid w:val="008727AC"/>
    <w:rsid w:val="00874901"/>
    <w:rsid w:val="00874A7F"/>
    <w:rsid w:val="0087509C"/>
    <w:rsid w:val="008755EE"/>
    <w:rsid w:val="00875A4E"/>
    <w:rsid w:val="008825BD"/>
    <w:rsid w:val="00882875"/>
    <w:rsid w:val="008858CC"/>
    <w:rsid w:val="0088603C"/>
    <w:rsid w:val="00890754"/>
    <w:rsid w:val="00892C96"/>
    <w:rsid w:val="00893B04"/>
    <w:rsid w:val="008A1B43"/>
    <w:rsid w:val="008A358D"/>
    <w:rsid w:val="008A7344"/>
    <w:rsid w:val="008A7AFE"/>
    <w:rsid w:val="008B2F90"/>
    <w:rsid w:val="008B3131"/>
    <w:rsid w:val="008B6B6E"/>
    <w:rsid w:val="008C1AF8"/>
    <w:rsid w:val="008C6575"/>
    <w:rsid w:val="008D0367"/>
    <w:rsid w:val="008D4124"/>
    <w:rsid w:val="008D41C3"/>
    <w:rsid w:val="008D4313"/>
    <w:rsid w:val="008D5BE2"/>
    <w:rsid w:val="008D62D9"/>
    <w:rsid w:val="008D63E3"/>
    <w:rsid w:val="008D7234"/>
    <w:rsid w:val="008E14F7"/>
    <w:rsid w:val="008E47B9"/>
    <w:rsid w:val="008E6333"/>
    <w:rsid w:val="008E7F7E"/>
    <w:rsid w:val="008F1180"/>
    <w:rsid w:val="008F50A6"/>
    <w:rsid w:val="008F5526"/>
    <w:rsid w:val="008F63B4"/>
    <w:rsid w:val="0090001D"/>
    <w:rsid w:val="00903816"/>
    <w:rsid w:val="00907E3F"/>
    <w:rsid w:val="00910373"/>
    <w:rsid w:val="00912572"/>
    <w:rsid w:val="00913833"/>
    <w:rsid w:val="00916271"/>
    <w:rsid w:val="00917CF0"/>
    <w:rsid w:val="00917EDD"/>
    <w:rsid w:val="00924D8D"/>
    <w:rsid w:val="00930B6D"/>
    <w:rsid w:val="0093189A"/>
    <w:rsid w:val="0093388C"/>
    <w:rsid w:val="00934FC7"/>
    <w:rsid w:val="00935523"/>
    <w:rsid w:val="00936398"/>
    <w:rsid w:val="009510E0"/>
    <w:rsid w:val="00953A48"/>
    <w:rsid w:val="00957A6B"/>
    <w:rsid w:val="00960047"/>
    <w:rsid w:val="00960A58"/>
    <w:rsid w:val="00961320"/>
    <w:rsid w:val="00964CA9"/>
    <w:rsid w:val="009710F9"/>
    <w:rsid w:val="0097112B"/>
    <w:rsid w:val="00971D1E"/>
    <w:rsid w:val="00972BCB"/>
    <w:rsid w:val="00973191"/>
    <w:rsid w:val="00973E85"/>
    <w:rsid w:val="0097566E"/>
    <w:rsid w:val="00976C62"/>
    <w:rsid w:val="00982074"/>
    <w:rsid w:val="0098291E"/>
    <w:rsid w:val="00982D80"/>
    <w:rsid w:val="00983CDC"/>
    <w:rsid w:val="0099239B"/>
    <w:rsid w:val="00993082"/>
    <w:rsid w:val="00994F8A"/>
    <w:rsid w:val="00996793"/>
    <w:rsid w:val="00997EE1"/>
    <w:rsid w:val="009A041F"/>
    <w:rsid w:val="009A369C"/>
    <w:rsid w:val="009A791C"/>
    <w:rsid w:val="009A7B7B"/>
    <w:rsid w:val="009B0476"/>
    <w:rsid w:val="009B10FF"/>
    <w:rsid w:val="009B11A7"/>
    <w:rsid w:val="009C3FCD"/>
    <w:rsid w:val="009C43B1"/>
    <w:rsid w:val="009C66A8"/>
    <w:rsid w:val="009D00AB"/>
    <w:rsid w:val="009D0624"/>
    <w:rsid w:val="009D21B5"/>
    <w:rsid w:val="009D4DE8"/>
    <w:rsid w:val="009D51BB"/>
    <w:rsid w:val="009E40F1"/>
    <w:rsid w:val="009E695F"/>
    <w:rsid w:val="009E7A11"/>
    <w:rsid w:val="009F49EA"/>
    <w:rsid w:val="009F61B5"/>
    <w:rsid w:val="009F6C60"/>
    <w:rsid w:val="009F6C68"/>
    <w:rsid w:val="009F7176"/>
    <w:rsid w:val="00A0243B"/>
    <w:rsid w:val="00A059F4"/>
    <w:rsid w:val="00A0611E"/>
    <w:rsid w:val="00A12658"/>
    <w:rsid w:val="00A12C80"/>
    <w:rsid w:val="00A13262"/>
    <w:rsid w:val="00A230AB"/>
    <w:rsid w:val="00A25B25"/>
    <w:rsid w:val="00A30088"/>
    <w:rsid w:val="00A3328A"/>
    <w:rsid w:val="00A356F6"/>
    <w:rsid w:val="00A41088"/>
    <w:rsid w:val="00A42EDF"/>
    <w:rsid w:val="00A44181"/>
    <w:rsid w:val="00A5276E"/>
    <w:rsid w:val="00A527C6"/>
    <w:rsid w:val="00A53F1E"/>
    <w:rsid w:val="00A54938"/>
    <w:rsid w:val="00A54DD3"/>
    <w:rsid w:val="00A61B3D"/>
    <w:rsid w:val="00A61DAA"/>
    <w:rsid w:val="00A62B2F"/>
    <w:rsid w:val="00A66263"/>
    <w:rsid w:val="00A66A58"/>
    <w:rsid w:val="00A67582"/>
    <w:rsid w:val="00A67C26"/>
    <w:rsid w:val="00A70108"/>
    <w:rsid w:val="00A70BFD"/>
    <w:rsid w:val="00A716BB"/>
    <w:rsid w:val="00A73328"/>
    <w:rsid w:val="00A7652F"/>
    <w:rsid w:val="00A82A7F"/>
    <w:rsid w:val="00A87E4C"/>
    <w:rsid w:val="00A91845"/>
    <w:rsid w:val="00A91B4B"/>
    <w:rsid w:val="00A920BE"/>
    <w:rsid w:val="00A94ECB"/>
    <w:rsid w:val="00A9782C"/>
    <w:rsid w:val="00AA31BF"/>
    <w:rsid w:val="00AA6358"/>
    <w:rsid w:val="00AB167A"/>
    <w:rsid w:val="00AB3296"/>
    <w:rsid w:val="00AB60D8"/>
    <w:rsid w:val="00AC0E9F"/>
    <w:rsid w:val="00AC39CF"/>
    <w:rsid w:val="00AC4B89"/>
    <w:rsid w:val="00AD0166"/>
    <w:rsid w:val="00AD1D6A"/>
    <w:rsid w:val="00AD317D"/>
    <w:rsid w:val="00AD4420"/>
    <w:rsid w:val="00AD5A4A"/>
    <w:rsid w:val="00AD758E"/>
    <w:rsid w:val="00AD7E83"/>
    <w:rsid w:val="00AE0B76"/>
    <w:rsid w:val="00AE2C0E"/>
    <w:rsid w:val="00AF439B"/>
    <w:rsid w:val="00AF6CCC"/>
    <w:rsid w:val="00AF6D4A"/>
    <w:rsid w:val="00AF7B2A"/>
    <w:rsid w:val="00B001E3"/>
    <w:rsid w:val="00B01353"/>
    <w:rsid w:val="00B01B38"/>
    <w:rsid w:val="00B01CC3"/>
    <w:rsid w:val="00B03BD1"/>
    <w:rsid w:val="00B07921"/>
    <w:rsid w:val="00B124F3"/>
    <w:rsid w:val="00B13651"/>
    <w:rsid w:val="00B1593F"/>
    <w:rsid w:val="00B16E96"/>
    <w:rsid w:val="00B20EA1"/>
    <w:rsid w:val="00B22CFF"/>
    <w:rsid w:val="00B22FF3"/>
    <w:rsid w:val="00B24CF1"/>
    <w:rsid w:val="00B25DE6"/>
    <w:rsid w:val="00B2607A"/>
    <w:rsid w:val="00B26CAD"/>
    <w:rsid w:val="00B309FB"/>
    <w:rsid w:val="00B31D5A"/>
    <w:rsid w:val="00B35BC9"/>
    <w:rsid w:val="00B36BF7"/>
    <w:rsid w:val="00B405C5"/>
    <w:rsid w:val="00B406DC"/>
    <w:rsid w:val="00B42AD8"/>
    <w:rsid w:val="00B44348"/>
    <w:rsid w:val="00B455A9"/>
    <w:rsid w:val="00B45F67"/>
    <w:rsid w:val="00B469B0"/>
    <w:rsid w:val="00B5049A"/>
    <w:rsid w:val="00B53541"/>
    <w:rsid w:val="00B54F4E"/>
    <w:rsid w:val="00B556A0"/>
    <w:rsid w:val="00B67205"/>
    <w:rsid w:val="00B6733A"/>
    <w:rsid w:val="00B70EDE"/>
    <w:rsid w:val="00B7198C"/>
    <w:rsid w:val="00B7273A"/>
    <w:rsid w:val="00B757D6"/>
    <w:rsid w:val="00B75B95"/>
    <w:rsid w:val="00B75C97"/>
    <w:rsid w:val="00B778FB"/>
    <w:rsid w:val="00B77D2C"/>
    <w:rsid w:val="00B80098"/>
    <w:rsid w:val="00B85160"/>
    <w:rsid w:val="00B8786E"/>
    <w:rsid w:val="00B92BAA"/>
    <w:rsid w:val="00B92CFF"/>
    <w:rsid w:val="00B9419F"/>
    <w:rsid w:val="00B95D28"/>
    <w:rsid w:val="00B96BDF"/>
    <w:rsid w:val="00BA0ED3"/>
    <w:rsid w:val="00BA296A"/>
    <w:rsid w:val="00BA55E3"/>
    <w:rsid w:val="00BA7B76"/>
    <w:rsid w:val="00BB4FD3"/>
    <w:rsid w:val="00BB5D09"/>
    <w:rsid w:val="00BB7C71"/>
    <w:rsid w:val="00BC09C2"/>
    <w:rsid w:val="00BC09F1"/>
    <w:rsid w:val="00BC2073"/>
    <w:rsid w:val="00BC3961"/>
    <w:rsid w:val="00BD0846"/>
    <w:rsid w:val="00BD41B1"/>
    <w:rsid w:val="00BD5771"/>
    <w:rsid w:val="00BD7653"/>
    <w:rsid w:val="00BE0BA1"/>
    <w:rsid w:val="00BE1CFB"/>
    <w:rsid w:val="00BF0089"/>
    <w:rsid w:val="00BF0608"/>
    <w:rsid w:val="00BF0F2B"/>
    <w:rsid w:val="00BF1CFB"/>
    <w:rsid w:val="00BF3188"/>
    <w:rsid w:val="00BF782E"/>
    <w:rsid w:val="00BF7A47"/>
    <w:rsid w:val="00C00E61"/>
    <w:rsid w:val="00C01439"/>
    <w:rsid w:val="00C01B9B"/>
    <w:rsid w:val="00C01FD9"/>
    <w:rsid w:val="00C0494D"/>
    <w:rsid w:val="00C05CED"/>
    <w:rsid w:val="00C05D0F"/>
    <w:rsid w:val="00C075D7"/>
    <w:rsid w:val="00C0772B"/>
    <w:rsid w:val="00C0773B"/>
    <w:rsid w:val="00C12108"/>
    <w:rsid w:val="00C270A8"/>
    <w:rsid w:val="00C30A97"/>
    <w:rsid w:val="00C40F00"/>
    <w:rsid w:val="00C451D0"/>
    <w:rsid w:val="00C454C2"/>
    <w:rsid w:val="00C47E88"/>
    <w:rsid w:val="00C51CD3"/>
    <w:rsid w:val="00C522CE"/>
    <w:rsid w:val="00C53A62"/>
    <w:rsid w:val="00C57A0D"/>
    <w:rsid w:val="00C615ED"/>
    <w:rsid w:val="00C619C5"/>
    <w:rsid w:val="00C62E66"/>
    <w:rsid w:val="00C6444C"/>
    <w:rsid w:val="00C67AC5"/>
    <w:rsid w:val="00C708E4"/>
    <w:rsid w:val="00C71634"/>
    <w:rsid w:val="00C72C63"/>
    <w:rsid w:val="00C72F9A"/>
    <w:rsid w:val="00C73988"/>
    <w:rsid w:val="00C8001F"/>
    <w:rsid w:val="00C8150D"/>
    <w:rsid w:val="00C82A88"/>
    <w:rsid w:val="00C84CD0"/>
    <w:rsid w:val="00C857E2"/>
    <w:rsid w:val="00C8655B"/>
    <w:rsid w:val="00C87D46"/>
    <w:rsid w:val="00CA04EA"/>
    <w:rsid w:val="00CA1348"/>
    <w:rsid w:val="00CA35B5"/>
    <w:rsid w:val="00CA425C"/>
    <w:rsid w:val="00CA7D6C"/>
    <w:rsid w:val="00CC4185"/>
    <w:rsid w:val="00CC6855"/>
    <w:rsid w:val="00CD0C3D"/>
    <w:rsid w:val="00CD47F7"/>
    <w:rsid w:val="00CD6C35"/>
    <w:rsid w:val="00CE292A"/>
    <w:rsid w:val="00CE30ED"/>
    <w:rsid w:val="00CE3910"/>
    <w:rsid w:val="00CE76DD"/>
    <w:rsid w:val="00CF0321"/>
    <w:rsid w:val="00CF294B"/>
    <w:rsid w:val="00CF2B10"/>
    <w:rsid w:val="00CF301B"/>
    <w:rsid w:val="00CF72FF"/>
    <w:rsid w:val="00CF798F"/>
    <w:rsid w:val="00D0059F"/>
    <w:rsid w:val="00D011F9"/>
    <w:rsid w:val="00D01F4D"/>
    <w:rsid w:val="00D02201"/>
    <w:rsid w:val="00D11784"/>
    <w:rsid w:val="00D12C61"/>
    <w:rsid w:val="00D13434"/>
    <w:rsid w:val="00D13EE6"/>
    <w:rsid w:val="00D14427"/>
    <w:rsid w:val="00D15D55"/>
    <w:rsid w:val="00D1718B"/>
    <w:rsid w:val="00D24019"/>
    <w:rsid w:val="00D2569A"/>
    <w:rsid w:val="00D2727C"/>
    <w:rsid w:val="00D3474B"/>
    <w:rsid w:val="00D350E9"/>
    <w:rsid w:val="00D37E95"/>
    <w:rsid w:val="00D40159"/>
    <w:rsid w:val="00D42470"/>
    <w:rsid w:val="00D47DFF"/>
    <w:rsid w:val="00D51540"/>
    <w:rsid w:val="00D521A9"/>
    <w:rsid w:val="00D539C0"/>
    <w:rsid w:val="00D551B4"/>
    <w:rsid w:val="00D570D7"/>
    <w:rsid w:val="00D573E7"/>
    <w:rsid w:val="00D60513"/>
    <w:rsid w:val="00D6323E"/>
    <w:rsid w:val="00D64545"/>
    <w:rsid w:val="00D6491C"/>
    <w:rsid w:val="00D74DD0"/>
    <w:rsid w:val="00D76776"/>
    <w:rsid w:val="00D77720"/>
    <w:rsid w:val="00D86DF6"/>
    <w:rsid w:val="00D92053"/>
    <w:rsid w:val="00D92866"/>
    <w:rsid w:val="00D935EA"/>
    <w:rsid w:val="00D93835"/>
    <w:rsid w:val="00D94447"/>
    <w:rsid w:val="00D94D3C"/>
    <w:rsid w:val="00D966C9"/>
    <w:rsid w:val="00DA2F4E"/>
    <w:rsid w:val="00DA3F83"/>
    <w:rsid w:val="00DA513A"/>
    <w:rsid w:val="00DA5816"/>
    <w:rsid w:val="00DA79C7"/>
    <w:rsid w:val="00DB1ECD"/>
    <w:rsid w:val="00DC333D"/>
    <w:rsid w:val="00DC6119"/>
    <w:rsid w:val="00DD0073"/>
    <w:rsid w:val="00DD2338"/>
    <w:rsid w:val="00DD24D2"/>
    <w:rsid w:val="00DD778D"/>
    <w:rsid w:val="00DE0FDD"/>
    <w:rsid w:val="00DE107A"/>
    <w:rsid w:val="00DE14E7"/>
    <w:rsid w:val="00DE1EE2"/>
    <w:rsid w:val="00DE22FE"/>
    <w:rsid w:val="00DE41A0"/>
    <w:rsid w:val="00DE4469"/>
    <w:rsid w:val="00DE697B"/>
    <w:rsid w:val="00DF14EF"/>
    <w:rsid w:val="00E013AD"/>
    <w:rsid w:val="00E027DB"/>
    <w:rsid w:val="00E107F4"/>
    <w:rsid w:val="00E13723"/>
    <w:rsid w:val="00E144F1"/>
    <w:rsid w:val="00E26472"/>
    <w:rsid w:val="00E35258"/>
    <w:rsid w:val="00E36D9E"/>
    <w:rsid w:val="00E43247"/>
    <w:rsid w:val="00E434FC"/>
    <w:rsid w:val="00E4474E"/>
    <w:rsid w:val="00E44FB5"/>
    <w:rsid w:val="00E45070"/>
    <w:rsid w:val="00E47119"/>
    <w:rsid w:val="00E509E8"/>
    <w:rsid w:val="00E515BB"/>
    <w:rsid w:val="00E53409"/>
    <w:rsid w:val="00E576F2"/>
    <w:rsid w:val="00E61AF5"/>
    <w:rsid w:val="00E62BBA"/>
    <w:rsid w:val="00E632A5"/>
    <w:rsid w:val="00E64E0C"/>
    <w:rsid w:val="00E67F84"/>
    <w:rsid w:val="00E724DC"/>
    <w:rsid w:val="00E74F0D"/>
    <w:rsid w:val="00E754D7"/>
    <w:rsid w:val="00E76134"/>
    <w:rsid w:val="00E76513"/>
    <w:rsid w:val="00E76E8E"/>
    <w:rsid w:val="00E81ADC"/>
    <w:rsid w:val="00E82079"/>
    <w:rsid w:val="00E822E8"/>
    <w:rsid w:val="00E87DB6"/>
    <w:rsid w:val="00E92B3C"/>
    <w:rsid w:val="00E951ED"/>
    <w:rsid w:val="00EA16CB"/>
    <w:rsid w:val="00EA4203"/>
    <w:rsid w:val="00EA5B51"/>
    <w:rsid w:val="00EB20F4"/>
    <w:rsid w:val="00EB2D21"/>
    <w:rsid w:val="00EB39F7"/>
    <w:rsid w:val="00EB3C1C"/>
    <w:rsid w:val="00EB3F8B"/>
    <w:rsid w:val="00EC1C6B"/>
    <w:rsid w:val="00EC4E49"/>
    <w:rsid w:val="00EC5DBC"/>
    <w:rsid w:val="00ED3C96"/>
    <w:rsid w:val="00ED3FD6"/>
    <w:rsid w:val="00ED40A8"/>
    <w:rsid w:val="00ED5473"/>
    <w:rsid w:val="00ED5E1F"/>
    <w:rsid w:val="00EE0306"/>
    <w:rsid w:val="00EE0534"/>
    <w:rsid w:val="00EE08CC"/>
    <w:rsid w:val="00EE2B3F"/>
    <w:rsid w:val="00EE4B2B"/>
    <w:rsid w:val="00EE5563"/>
    <w:rsid w:val="00EE609B"/>
    <w:rsid w:val="00EF621D"/>
    <w:rsid w:val="00EF7D4B"/>
    <w:rsid w:val="00EF7D8D"/>
    <w:rsid w:val="00F04700"/>
    <w:rsid w:val="00F04DD8"/>
    <w:rsid w:val="00F07226"/>
    <w:rsid w:val="00F11C0C"/>
    <w:rsid w:val="00F12F02"/>
    <w:rsid w:val="00F13ACE"/>
    <w:rsid w:val="00F15421"/>
    <w:rsid w:val="00F27DCE"/>
    <w:rsid w:val="00F31DD5"/>
    <w:rsid w:val="00F326DF"/>
    <w:rsid w:val="00F33019"/>
    <w:rsid w:val="00F34AAA"/>
    <w:rsid w:val="00F35653"/>
    <w:rsid w:val="00F360C9"/>
    <w:rsid w:val="00F404D5"/>
    <w:rsid w:val="00F43707"/>
    <w:rsid w:val="00F44916"/>
    <w:rsid w:val="00F45061"/>
    <w:rsid w:val="00F4506F"/>
    <w:rsid w:val="00F51081"/>
    <w:rsid w:val="00F5400A"/>
    <w:rsid w:val="00F57525"/>
    <w:rsid w:val="00F67DEF"/>
    <w:rsid w:val="00F67E8C"/>
    <w:rsid w:val="00F75B5B"/>
    <w:rsid w:val="00F75DDF"/>
    <w:rsid w:val="00F7766E"/>
    <w:rsid w:val="00F81C53"/>
    <w:rsid w:val="00F82B8F"/>
    <w:rsid w:val="00F8445A"/>
    <w:rsid w:val="00F86237"/>
    <w:rsid w:val="00F8715E"/>
    <w:rsid w:val="00F90802"/>
    <w:rsid w:val="00F923CA"/>
    <w:rsid w:val="00F937A0"/>
    <w:rsid w:val="00F94A1D"/>
    <w:rsid w:val="00F97044"/>
    <w:rsid w:val="00FA0582"/>
    <w:rsid w:val="00FA19A2"/>
    <w:rsid w:val="00FA422B"/>
    <w:rsid w:val="00FA4230"/>
    <w:rsid w:val="00FA575A"/>
    <w:rsid w:val="00FB37CE"/>
    <w:rsid w:val="00FB62A3"/>
    <w:rsid w:val="00FB70FD"/>
    <w:rsid w:val="00FB71EE"/>
    <w:rsid w:val="00FB7A0E"/>
    <w:rsid w:val="00FC258D"/>
    <w:rsid w:val="00FD00B5"/>
    <w:rsid w:val="00FD046B"/>
    <w:rsid w:val="00FD0CB8"/>
    <w:rsid w:val="00FD128F"/>
    <w:rsid w:val="00FD2799"/>
    <w:rsid w:val="00FD2ADB"/>
    <w:rsid w:val="00FD2F32"/>
    <w:rsid w:val="00FD4033"/>
    <w:rsid w:val="00FD7F64"/>
    <w:rsid w:val="00FE30E6"/>
    <w:rsid w:val="00FE3142"/>
    <w:rsid w:val="00FE3FDE"/>
    <w:rsid w:val="00FF0672"/>
    <w:rsid w:val="00FF155F"/>
    <w:rsid w:val="00FF275C"/>
    <w:rsid w:val="00FF63F2"/>
    <w:rsid w:val="00FF676E"/>
    <w:rsid w:val="10EA9EA1"/>
    <w:rsid w:val="1C5C18B5"/>
    <w:rsid w:val="44DC1063"/>
    <w:rsid w:val="4728402F"/>
    <w:rsid w:val="47856D3E"/>
    <w:rsid w:val="62CFE9D2"/>
    <w:rsid w:val="6A59BD34"/>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DA5AF2"/>
  <w15:docId w15:val="{80055AC4-B747-4FAC-AFE3-E761FD80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lsdException w:name="heading 3" w:locked="0" w:semiHidden="1" w:uiPriority="0" w:unhideWhenUsed="1"/>
    <w:lsdException w:name="heading 4" w:locked="0" w:semiHidden="1" w:uiPriority="9" w:unhideWhenUsed="1" w:qFormat="1"/>
    <w:lsdException w:name="heading 5" w:locked="0" w:semiHidden="1" w:uiPriority="9" w:unhideWhenUsed="1"/>
    <w:lsdException w:name="heading 6" w:semiHidden="1" w:uiPriority="39" w:qFormat="1"/>
    <w:lsdException w:name="heading 7" w:semiHidden="1" w:uiPriority="39" w:qFormat="1"/>
    <w:lsdException w:name="heading 8" w:semiHidden="1" w:uiPriority="39" w:qFormat="1"/>
    <w:lsdException w:name="heading 9" w:semiHidden="1" w:uiPriority="3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semiHidden="1" w:unhideWhenUsed="1"/>
    <w:lsdException w:name="annotation text" w:semiHidden="1"/>
    <w:lsdException w:name="header" w:locked="0" w:semiHidden="1" w:unhideWhenUsed="1"/>
    <w:lsdException w:name="footer" w:locked="0" w:semiHidden="1"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locked="0" w:semiHidden="1" w:unhideWhenUsed="1"/>
    <w:lsdException w:name="annotation reference" w:semiHidden="1"/>
    <w:lsdException w:name="line number" w:semiHidden="1"/>
    <w:lsdException w:name="page number" w:locked="0" w:semiHidden="1" w:uiPriority="39"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lsdException w:name="List Number" w:semiHidden="1"/>
    <w:lsdException w:name="List 2" w:semiHidden="1"/>
    <w:lsdException w:name="List 3" w:semiHidden="1"/>
    <w:lsdException w:name="List 4" w:semiHidden="1"/>
    <w:lsdException w:name="List 5" w:semiHidden="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lsdException w:name="List Number 3" w:semiHidden="1"/>
    <w:lsdException w:name="List Number 4" w:semiHidden="1"/>
    <w:lsdException w:name="List Number 5" w:semiHidden="1"/>
    <w:lsdException w:name="Title" w:semiHidden="1" w:uiPriority="39"/>
    <w:lsdException w:name="Closing" w:semiHidden="1"/>
    <w:lsdException w:name="Signature" w:semiHidden="1"/>
    <w:lsdException w:name="Default Paragraph Font" w:locked="0" w:semiHidden="1" w:uiPriority="1" w:unhideWhenUsed="1"/>
    <w:lsdException w:name="Body Text" w:locked="0" w:semiHidden="1" w:uiPriority="39"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9"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locked="0" w:semiHidden="1" w:unhideWhenUsed="1"/>
    <w:lsdException w:name="Strong" w:semiHidden="1" w:uiPriority="39" w:qFormat="1"/>
    <w:lsdException w:name="Emphasis" w:semiHidden="1" w:uiPriority="39"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ocked="0"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locked="0" w:uiPriority="31" w:qFormat="1"/>
    <w:lsdException w:name="Intense Reference" w:locked="0" w:uiPriority="32" w:qFormat="1"/>
    <w:lsdException w:name="Book Title" w:semiHidden="1" w:uiPriority="33" w:qFormat="1"/>
    <w:lsdException w:name="Bibliography" w:semiHidden="1" w:uiPriority="37"/>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Normal">
    <w:name w:val="Normal"/>
    <w:uiPriority w:val="39"/>
    <w:semiHidden/>
    <w:qFormat/>
    <w:rsid w:val="00B556A0"/>
    <w:pPr>
      <w:spacing w:after="0" w:line="240" w:lineRule="auto"/>
    </w:pPr>
    <w:rPr>
      <w:sz w:val="19"/>
    </w:rPr>
  </w:style>
  <w:style w:type="paragraph" w:styleId="Heading1">
    <w:name w:val="heading 1"/>
    <w:basedOn w:val="SectiontitleToC"/>
    <w:next w:val="BodytextRegular"/>
    <w:link w:val="Heading1Char"/>
    <w:uiPriority w:val="9"/>
    <w:semiHidden/>
    <w:qFormat/>
    <w:locked/>
    <w:rsid w:val="00AF7B2A"/>
    <w:pPr>
      <w:keepNext/>
      <w:tabs>
        <w:tab w:val="clear" w:pos="3402"/>
        <w:tab w:val="left" w:pos="1736"/>
      </w:tabs>
    </w:pPr>
    <w:rPr>
      <w:rFonts w:eastAsia="Times New Roman" w:cs="Arial"/>
      <w:bCs/>
      <w:kern w:val="32"/>
      <w:szCs w:val="32"/>
    </w:rPr>
  </w:style>
  <w:style w:type="paragraph" w:styleId="Heading2">
    <w:name w:val="heading 2"/>
    <w:basedOn w:val="SectionsubtitleToC"/>
    <w:next w:val="BodytextRegular"/>
    <w:link w:val="Heading2Char"/>
    <w:uiPriority w:val="39"/>
    <w:semiHidden/>
    <w:locked/>
    <w:rsid w:val="007F6140"/>
    <w:pPr>
      <w:keepNext/>
      <w:tabs>
        <w:tab w:val="left" w:pos="1736"/>
      </w:tabs>
    </w:pPr>
    <w:rPr>
      <w:rFonts w:eastAsia="Times New Roman" w:cs="Arial"/>
      <w:bCs/>
      <w:iCs/>
      <w:szCs w:val="28"/>
    </w:rPr>
  </w:style>
  <w:style w:type="paragraph" w:styleId="Heading3">
    <w:name w:val="heading 3"/>
    <w:basedOn w:val="Normal"/>
    <w:next w:val="BodytextRegular"/>
    <w:link w:val="Heading3Char"/>
    <w:autoRedefine/>
    <w:uiPriority w:val="39"/>
    <w:semiHidden/>
    <w:locked/>
    <w:rsid w:val="00AD758E"/>
    <w:pPr>
      <w:keepNext/>
      <w:spacing w:before="120" w:after="120"/>
      <w:outlineLvl w:val="2"/>
    </w:pPr>
    <w:rPr>
      <w:rFonts w:asciiTheme="majorHAnsi" w:eastAsia="Times New Roman" w:hAnsiTheme="majorHAnsi" w:cs="Arial"/>
      <w:bCs/>
      <w:color w:val="4F3398" w:themeColor="accent1"/>
      <w:spacing w:val="-6"/>
      <w:sz w:val="22"/>
      <w:lang w:eastAsia="ja-JP"/>
    </w:rPr>
  </w:style>
  <w:style w:type="paragraph" w:styleId="Heading4">
    <w:name w:val="heading 4"/>
    <w:basedOn w:val="Normal"/>
    <w:next w:val="BodyText"/>
    <w:link w:val="Heading4Char"/>
    <w:uiPriority w:val="39"/>
    <w:semiHidden/>
    <w:qFormat/>
    <w:locked/>
    <w:rsid w:val="00AD758E"/>
    <w:pPr>
      <w:keepNext/>
      <w:keepLines/>
      <w:spacing w:before="200"/>
      <w:outlineLvl w:val="3"/>
    </w:pPr>
    <w:rPr>
      <w:rFonts w:asciiTheme="majorHAnsi" w:eastAsiaTheme="majorEastAsia" w:hAnsiTheme="majorHAnsi" w:cstheme="majorBidi"/>
      <w:b/>
      <w:bCs/>
      <w:iCs/>
      <w:color w:val="001E41" w:themeColor="accent3"/>
    </w:rPr>
  </w:style>
  <w:style w:type="paragraph" w:styleId="Heading5">
    <w:name w:val="heading 5"/>
    <w:basedOn w:val="Normal"/>
    <w:next w:val="Normal"/>
    <w:link w:val="Heading5Char"/>
    <w:uiPriority w:val="39"/>
    <w:semiHidden/>
    <w:locked/>
    <w:rsid w:val="00AD758E"/>
    <w:pPr>
      <w:keepNext/>
      <w:keepLines/>
      <w:spacing w:before="200"/>
      <w:outlineLvl w:val="4"/>
    </w:pPr>
    <w:rPr>
      <w:rFonts w:asciiTheme="majorHAnsi" w:eastAsiaTheme="majorEastAsia" w:hAnsiTheme="majorHAnsi" w:cstheme="majorBidi"/>
      <w:color w:val="4F3398"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BodytextRegular"/>
    <w:uiPriority w:val="27"/>
    <w:qFormat/>
    <w:rsid w:val="00366D7C"/>
    <w:pPr>
      <w:framePr w:hSpace="180" w:wrap="around" w:vAnchor="text" w:hAnchor="text" w:x="-6" w:y="1"/>
      <w:spacing w:line="216" w:lineRule="auto"/>
      <w:suppressOverlap/>
    </w:pPr>
    <w:rPr>
      <w:rFonts w:ascii="Schroders Circular TT" w:hAnsi="Schroders Circular TT" w:cs="Schroders Circular TT Black"/>
      <w:color w:val="001E41" w:themeColor="accent3"/>
      <w:sz w:val="48"/>
      <w:szCs w:val="36"/>
    </w:rPr>
  </w:style>
  <w:style w:type="paragraph" w:customStyle="1" w:styleId="Documentsubtitle">
    <w:name w:val="Document subtitle"/>
    <w:basedOn w:val="Normal"/>
    <w:next w:val="BodytextRegular"/>
    <w:uiPriority w:val="28"/>
    <w:qFormat/>
    <w:rsid w:val="00366D7C"/>
    <w:pPr>
      <w:spacing w:before="120" w:after="120"/>
    </w:pPr>
    <w:rPr>
      <w:rFonts w:ascii="Schroders Circular TT" w:hAnsi="Schroders Circular TT"/>
      <w:color w:val="00A2B5" w:themeColor="accent2"/>
      <w:sz w:val="28"/>
      <w:szCs w:val="32"/>
    </w:rPr>
  </w:style>
  <w:style w:type="character" w:customStyle="1" w:styleId="Heading1Char">
    <w:name w:val="Heading 1 Char"/>
    <w:basedOn w:val="DefaultParagraphFont"/>
    <w:link w:val="Heading1"/>
    <w:uiPriority w:val="9"/>
    <w:semiHidden/>
    <w:rsid w:val="00261FA2"/>
    <w:rPr>
      <w:rFonts w:asciiTheme="majorHAnsi" w:eastAsia="Times New Roman" w:hAnsiTheme="majorHAnsi" w:cs="Arial"/>
      <w:bCs/>
      <w:color w:val="002A5E"/>
      <w:kern w:val="32"/>
      <w:sz w:val="36"/>
      <w:szCs w:val="32"/>
    </w:rPr>
  </w:style>
  <w:style w:type="character" w:customStyle="1" w:styleId="Heading2Char">
    <w:name w:val="Heading 2 Char"/>
    <w:basedOn w:val="DefaultParagraphFont"/>
    <w:link w:val="Heading2"/>
    <w:uiPriority w:val="39"/>
    <w:semiHidden/>
    <w:rsid w:val="005245EE"/>
    <w:rPr>
      <w:rFonts w:asciiTheme="majorHAnsi" w:eastAsia="Times New Roman" w:hAnsiTheme="majorHAnsi" w:cs="Arial"/>
      <w:bCs/>
      <w:iCs/>
      <w:color w:val="001E41" w:themeColor="accent3"/>
      <w:szCs w:val="28"/>
    </w:rPr>
  </w:style>
  <w:style w:type="character" w:customStyle="1" w:styleId="Heading3Char">
    <w:name w:val="Heading 3 Char"/>
    <w:basedOn w:val="DefaultParagraphFont"/>
    <w:link w:val="Heading3"/>
    <w:uiPriority w:val="39"/>
    <w:semiHidden/>
    <w:rsid w:val="00AD758E"/>
    <w:rPr>
      <w:rFonts w:asciiTheme="majorHAnsi" w:eastAsia="Times New Roman" w:hAnsiTheme="majorHAnsi" w:cs="Arial"/>
      <w:bCs/>
      <w:color w:val="4F3398" w:themeColor="accent1"/>
      <w:spacing w:val="-6"/>
      <w:lang w:eastAsia="ja-JP"/>
    </w:rPr>
  </w:style>
  <w:style w:type="character" w:customStyle="1" w:styleId="Heading4Char">
    <w:name w:val="Heading 4 Char"/>
    <w:basedOn w:val="DefaultParagraphFont"/>
    <w:link w:val="Heading4"/>
    <w:uiPriority w:val="39"/>
    <w:semiHidden/>
    <w:rsid w:val="00AD758E"/>
    <w:rPr>
      <w:rFonts w:asciiTheme="majorHAnsi" w:eastAsiaTheme="majorEastAsia" w:hAnsiTheme="majorHAnsi" w:cstheme="majorBidi"/>
      <w:b/>
      <w:bCs/>
      <w:iCs/>
      <w:color w:val="001E41" w:themeColor="accent3"/>
      <w:sz w:val="19"/>
    </w:rPr>
  </w:style>
  <w:style w:type="paragraph" w:styleId="BodyText">
    <w:name w:val="Body Text"/>
    <w:basedOn w:val="Normal"/>
    <w:link w:val="BodyTextChar"/>
    <w:uiPriority w:val="39"/>
    <w:semiHidden/>
    <w:locked/>
    <w:rsid w:val="00852601"/>
    <w:pPr>
      <w:spacing w:after="120"/>
    </w:pPr>
  </w:style>
  <w:style w:type="character" w:customStyle="1" w:styleId="BodyTextChar">
    <w:name w:val="Body Text Char"/>
    <w:basedOn w:val="DefaultParagraphFont"/>
    <w:link w:val="BodyText"/>
    <w:uiPriority w:val="39"/>
    <w:semiHidden/>
    <w:rsid w:val="00852601"/>
    <w:rPr>
      <w:sz w:val="19"/>
    </w:rPr>
  </w:style>
  <w:style w:type="paragraph" w:styleId="ListBullet">
    <w:name w:val="List Bullet"/>
    <w:basedOn w:val="Normal"/>
    <w:uiPriority w:val="99"/>
    <w:semiHidden/>
    <w:locked/>
    <w:rsid w:val="00E64E0C"/>
    <w:pPr>
      <w:numPr>
        <w:numId w:val="1"/>
      </w:numPr>
      <w:ind w:left="227" w:hanging="227"/>
      <w:contextualSpacing/>
    </w:pPr>
  </w:style>
  <w:style w:type="paragraph" w:styleId="ListBullet2">
    <w:name w:val="List Bullet 2"/>
    <w:basedOn w:val="Normal"/>
    <w:uiPriority w:val="99"/>
    <w:semiHidden/>
    <w:locked/>
    <w:rsid w:val="00E64E0C"/>
    <w:pPr>
      <w:numPr>
        <w:numId w:val="2"/>
      </w:numPr>
      <w:ind w:left="454" w:hanging="227"/>
      <w:contextualSpacing/>
    </w:pPr>
  </w:style>
  <w:style w:type="paragraph" w:styleId="ListBullet3">
    <w:name w:val="List Bullet 3"/>
    <w:basedOn w:val="Normal"/>
    <w:uiPriority w:val="99"/>
    <w:semiHidden/>
    <w:locked/>
    <w:rsid w:val="00E64E0C"/>
    <w:pPr>
      <w:numPr>
        <w:numId w:val="3"/>
      </w:numPr>
      <w:ind w:left="681" w:hanging="227"/>
      <w:contextualSpacing/>
    </w:pPr>
  </w:style>
  <w:style w:type="paragraph" w:styleId="ListBullet4">
    <w:name w:val="List Bullet 4"/>
    <w:basedOn w:val="Normal"/>
    <w:uiPriority w:val="99"/>
    <w:semiHidden/>
    <w:locked/>
    <w:rsid w:val="00E64E0C"/>
    <w:pPr>
      <w:numPr>
        <w:numId w:val="4"/>
      </w:numPr>
      <w:ind w:left="907" w:hanging="227"/>
      <w:contextualSpacing/>
    </w:pPr>
  </w:style>
  <w:style w:type="paragraph" w:styleId="ListBullet5">
    <w:name w:val="List Bullet 5"/>
    <w:basedOn w:val="Normal"/>
    <w:uiPriority w:val="99"/>
    <w:semiHidden/>
    <w:locked/>
    <w:rsid w:val="00E64E0C"/>
    <w:pPr>
      <w:numPr>
        <w:numId w:val="5"/>
      </w:numPr>
      <w:ind w:left="1134" w:hanging="227"/>
      <w:contextualSpacing/>
    </w:pPr>
  </w:style>
  <w:style w:type="table" w:styleId="TableGrid">
    <w:name w:val="Table Grid"/>
    <w:basedOn w:val="TableNormal"/>
    <w:uiPriority w:val="59"/>
    <w:locked/>
    <w:rsid w:val="007E0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39"/>
    <w:semiHidden/>
    <w:locked/>
    <w:rsid w:val="0093189A"/>
    <w:rPr>
      <w:rFonts w:asciiTheme="minorHAnsi" w:hAnsiTheme="minorHAnsi"/>
      <w:b/>
      <w:color w:val="4F3398" w:themeColor="accent1"/>
      <w:sz w:val="16"/>
    </w:rPr>
  </w:style>
  <w:style w:type="paragraph" w:customStyle="1" w:styleId="AppendixtitleToC">
    <w:name w:val="Appendix title (ToC)"/>
    <w:next w:val="BodytextRegular"/>
    <w:uiPriority w:val="23"/>
    <w:qFormat/>
    <w:rsid w:val="00F34AAA"/>
    <w:pPr>
      <w:pageBreakBefore/>
      <w:numPr>
        <w:numId w:val="14"/>
      </w:numPr>
      <w:spacing w:after="240"/>
      <w:ind w:left="1985" w:hanging="1985"/>
      <w:outlineLvl w:val="0"/>
    </w:pPr>
    <w:rPr>
      <w:rFonts w:asciiTheme="majorHAnsi" w:eastAsia="Times New Roman" w:hAnsiTheme="majorHAnsi" w:cs="Times New Roman"/>
      <w:b/>
      <w:color w:val="001E41" w:themeColor="accent3"/>
      <w:sz w:val="32"/>
      <w:szCs w:val="40"/>
      <w:lang w:eastAsia="ja-JP"/>
      <w14:scene3d>
        <w14:camera w14:prst="orthographicFront"/>
        <w14:lightRig w14:rig="threePt" w14:dir="t">
          <w14:rot w14:lat="0" w14:lon="0" w14:rev="0"/>
        </w14:lightRig>
      </w14:scene3d>
    </w:rPr>
  </w:style>
  <w:style w:type="paragraph" w:customStyle="1" w:styleId="Chartandtablesubtitle">
    <w:name w:val="Chart and table subtitle"/>
    <w:basedOn w:val="Normal"/>
    <w:next w:val="BodyText"/>
    <w:uiPriority w:val="18"/>
    <w:qFormat/>
    <w:rsid w:val="009B0476"/>
    <w:pPr>
      <w:keepNext/>
    </w:pPr>
    <w:rPr>
      <w:rFonts w:eastAsia="Times New Roman" w:cstheme="minorHAnsi"/>
      <w:sz w:val="18"/>
      <w:szCs w:val="24"/>
      <w:lang w:eastAsia="ja-JP"/>
    </w:rPr>
  </w:style>
  <w:style w:type="paragraph" w:styleId="BalloonText">
    <w:name w:val="Balloon Text"/>
    <w:basedOn w:val="Normal"/>
    <w:link w:val="BalloonTextChar"/>
    <w:uiPriority w:val="99"/>
    <w:semiHidden/>
    <w:locked/>
    <w:rsid w:val="00C01FD9"/>
    <w:rPr>
      <w:rFonts w:ascii="Tahoma" w:hAnsi="Tahoma" w:cs="Tahoma"/>
      <w:sz w:val="16"/>
      <w:szCs w:val="16"/>
    </w:rPr>
  </w:style>
  <w:style w:type="character" w:customStyle="1" w:styleId="BalloonTextChar">
    <w:name w:val="Balloon Text Char"/>
    <w:basedOn w:val="DefaultParagraphFont"/>
    <w:link w:val="BalloonText"/>
    <w:uiPriority w:val="99"/>
    <w:semiHidden/>
    <w:rsid w:val="00384AD6"/>
    <w:rPr>
      <w:rFonts w:ascii="Tahoma" w:hAnsi="Tahoma" w:cs="Tahoma"/>
      <w:sz w:val="16"/>
      <w:szCs w:val="16"/>
    </w:rPr>
  </w:style>
  <w:style w:type="paragraph" w:customStyle="1" w:styleId="TableTextBold">
    <w:name w:val="Table Text Bold"/>
    <w:basedOn w:val="Normal"/>
    <w:uiPriority w:val="39"/>
    <w:semiHidden/>
    <w:qFormat/>
    <w:locked/>
    <w:rsid w:val="004977F0"/>
    <w:pPr>
      <w:tabs>
        <w:tab w:val="left" w:pos="3402"/>
      </w:tabs>
      <w:spacing w:before="60" w:after="60"/>
    </w:pPr>
    <w:rPr>
      <w:b/>
      <w:sz w:val="20"/>
      <w:lang w:eastAsia="ja-JP"/>
    </w:rPr>
  </w:style>
  <w:style w:type="paragraph" w:styleId="TOC1">
    <w:name w:val="toc 1"/>
    <w:aliases w:val="Table of Contents Level 1"/>
    <w:basedOn w:val="Normal"/>
    <w:next w:val="BodytextRegular"/>
    <w:autoRedefine/>
    <w:uiPriority w:val="39"/>
    <w:qFormat/>
    <w:rsid w:val="00893B04"/>
    <w:pPr>
      <w:tabs>
        <w:tab w:val="left" w:pos="425"/>
        <w:tab w:val="left" w:pos="1559"/>
        <w:tab w:val="right" w:leader="dot" w:pos="9923"/>
      </w:tabs>
      <w:spacing w:before="240" w:after="120"/>
      <w:ind w:left="1701" w:hanging="1701"/>
    </w:pPr>
    <w:rPr>
      <w:rFonts w:eastAsia="Times New Roman" w:cs="Arial"/>
      <w:b/>
      <w:noProof/>
      <w:color w:val="001E41" w:themeColor="accent3"/>
      <w:spacing w:val="-6"/>
      <w:sz w:val="24"/>
      <w:lang w:eastAsia="ja-JP"/>
    </w:rPr>
  </w:style>
  <w:style w:type="paragraph" w:customStyle="1" w:styleId="Tabletextunbold">
    <w:name w:val="Table text unbold"/>
    <w:basedOn w:val="TableTextBold"/>
    <w:uiPriority w:val="39"/>
    <w:semiHidden/>
    <w:locked/>
    <w:rsid w:val="004977F0"/>
    <w:pPr>
      <w:tabs>
        <w:tab w:val="clear" w:pos="3402"/>
        <w:tab w:val="left" w:pos="357"/>
      </w:tabs>
      <w:spacing w:before="40" w:after="40"/>
    </w:pPr>
    <w:rPr>
      <w:rFonts w:eastAsia="Times New Roman" w:cs="Arial"/>
      <w:b w:val="0"/>
    </w:rPr>
  </w:style>
  <w:style w:type="paragraph" w:styleId="TOC2">
    <w:name w:val="toc 2"/>
    <w:aliases w:val="Table of Contents Level 2"/>
    <w:basedOn w:val="Normal"/>
    <w:next w:val="Normal"/>
    <w:autoRedefine/>
    <w:uiPriority w:val="39"/>
    <w:qFormat/>
    <w:rsid w:val="00366D7C"/>
    <w:pPr>
      <w:tabs>
        <w:tab w:val="left" w:pos="992"/>
        <w:tab w:val="right" w:leader="dot" w:pos="9923"/>
      </w:tabs>
      <w:spacing w:before="60"/>
      <w:ind w:left="992" w:hanging="567"/>
    </w:pPr>
    <w:rPr>
      <w:rFonts w:eastAsiaTheme="minorEastAsia"/>
      <w:noProof/>
      <w:color w:val="001E41" w:themeColor="accent3"/>
      <w:sz w:val="22"/>
      <w:lang w:eastAsia="en-GB"/>
    </w:rPr>
  </w:style>
  <w:style w:type="character" w:styleId="Hyperlink">
    <w:name w:val="Hyperlink"/>
    <w:basedOn w:val="DefaultParagraphFont"/>
    <w:uiPriority w:val="99"/>
    <w:locked/>
    <w:rsid w:val="00366D7C"/>
    <w:rPr>
      <w:rFonts w:asciiTheme="minorHAnsi" w:hAnsiTheme="minorHAnsi"/>
      <w:color w:val="001E41" w:themeColor="accent3"/>
      <w:u w:val="single"/>
    </w:rPr>
  </w:style>
  <w:style w:type="paragraph" w:styleId="TOC3">
    <w:name w:val="toc 3"/>
    <w:aliases w:val="Table of Contents Level 3"/>
    <w:basedOn w:val="Normal"/>
    <w:next w:val="Normal"/>
    <w:autoRedefine/>
    <w:uiPriority w:val="39"/>
    <w:semiHidden/>
    <w:qFormat/>
    <w:rsid w:val="00105004"/>
    <w:pPr>
      <w:tabs>
        <w:tab w:val="left" w:pos="992"/>
        <w:tab w:val="right" w:leader="dot" w:pos="9923"/>
      </w:tabs>
      <w:spacing w:before="60"/>
      <w:ind w:left="993" w:hanging="568"/>
    </w:pPr>
    <w:rPr>
      <w:rFonts w:eastAsiaTheme="majorEastAsia" w:cstheme="majorHAnsi"/>
      <w:noProof/>
      <w:color w:val="002A5E"/>
      <w:sz w:val="22"/>
      <w:szCs w:val="24"/>
    </w:rPr>
  </w:style>
  <w:style w:type="character" w:customStyle="1" w:styleId="Heading5Char">
    <w:name w:val="Heading 5 Char"/>
    <w:basedOn w:val="DefaultParagraphFont"/>
    <w:link w:val="Heading5"/>
    <w:uiPriority w:val="39"/>
    <w:semiHidden/>
    <w:rsid w:val="00C05D0F"/>
    <w:rPr>
      <w:rFonts w:asciiTheme="majorHAnsi" w:eastAsiaTheme="majorEastAsia" w:hAnsiTheme="majorHAnsi" w:cstheme="majorBidi"/>
      <w:color w:val="4F3398" w:themeColor="accent1"/>
      <w:sz w:val="19"/>
    </w:rPr>
  </w:style>
  <w:style w:type="paragraph" w:styleId="TOCHeading">
    <w:name w:val="TOC Heading"/>
    <w:next w:val="Normal"/>
    <w:uiPriority w:val="30"/>
    <w:qFormat/>
    <w:rsid w:val="00366D7C"/>
    <w:pPr>
      <w:keepLines/>
      <w:spacing w:before="480" w:after="0"/>
    </w:pPr>
    <w:rPr>
      <w:rFonts w:ascii="Schroders Circular TT" w:eastAsiaTheme="majorEastAsia" w:hAnsi="Schroders Circular TT" w:cstheme="majorBidi"/>
      <w:color w:val="00A2B5" w:themeColor="accent2"/>
      <w:sz w:val="28"/>
      <w:szCs w:val="28"/>
    </w:rPr>
  </w:style>
  <w:style w:type="paragraph" w:customStyle="1" w:styleId="Disclaimertext">
    <w:name w:val="Disclaimer text"/>
    <w:next w:val="BodyText"/>
    <w:uiPriority w:val="24"/>
    <w:rsid w:val="00B556A0"/>
    <w:pPr>
      <w:tabs>
        <w:tab w:val="left" w:pos="3402"/>
      </w:tabs>
      <w:spacing w:before="60" w:after="0" w:line="190" w:lineRule="exact"/>
    </w:pPr>
    <w:rPr>
      <w:rFonts w:eastAsia="Times New Roman" w:cs="Arial"/>
      <w:sz w:val="16"/>
      <w:szCs w:val="17"/>
    </w:rPr>
  </w:style>
  <w:style w:type="paragraph" w:customStyle="1" w:styleId="SectiontitleToC">
    <w:name w:val="Section title (ToC)"/>
    <w:basedOn w:val="BodyText"/>
    <w:next w:val="BodytextRegular"/>
    <w:uiPriority w:val="1"/>
    <w:rsid w:val="00893B04"/>
    <w:pPr>
      <w:tabs>
        <w:tab w:val="left" w:pos="3402"/>
      </w:tabs>
      <w:spacing w:after="240" w:line="276" w:lineRule="auto"/>
      <w:outlineLvl w:val="0"/>
    </w:pPr>
    <w:rPr>
      <w:rFonts w:ascii="Schroders Circular TT" w:hAnsi="Schroders Circular TT"/>
      <w:color w:val="001E41" w:themeColor="accent3"/>
      <w:sz w:val="32"/>
    </w:rPr>
  </w:style>
  <w:style w:type="paragraph" w:customStyle="1" w:styleId="SectionsubtitleToC">
    <w:name w:val="Section subtitle (ToC)"/>
    <w:next w:val="BodytextRegular"/>
    <w:uiPriority w:val="2"/>
    <w:qFormat/>
    <w:rsid w:val="00366D7C"/>
    <w:pPr>
      <w:spacing w:before="120" w:after="120" w:line="320" w:lineRule="exact"/>
      <w:outlineLvl w:val="1"/>
    </w:pPr>
    <w:rPr>
      <w:rFonts w:ascii="Schroders Circular TT" w:hAnsi="Schroders Circular TT"/>
      <w:color w:val="001E41" w:themeColor="accent3"/>
      <w:sz w:val="24"/>
    </w:rPr>
  </w:style>
  <w:style w:type="character" w:styleId="PlaceholderText">
    <w:name w:val="Placeholder Text"/>
    <w:basedOn w:val="DefaultParagraphFont"/>
    <w:uiPriority w:val="99"/>
    <w:semiHidden/>
    <w:locked/>
    <w:rsid w:val="00D77720"/>
    <w:rPr>
      <w:color w:val="808080"/>
    </w:rPr>
  </w:style>
  <w:style w:type="paragraph" w:customStyle="1" w:styleId="NumerallistRegular">
    <w:name w:val="Numeral list (Regular)"/>
    <w:basedOn w:val="LetteredlistRegular"/>
    <w:uiPriority w:val="15"/>
    <w:qFormat/>
    <w:rsid w:val="00953A48"/>
    <w:pPr>
      <w:numPr>
        <w:numId w:val="12"/>
      </w:numPr>
    </w:pPr>
  </w:style>
  <w:style w:type="paragraph" w:customStyle="1" w:styleId="NumerallistBold">
    <w:name w:val="Numeral list (Bold)"/>
    <w:basedOn w:val="LetteredlistBold"/>
    <w:uiPriority w:val="16"/>
    <w:qFormat/>
    <w:rsid w:val="00CD6C35"/>
    <w:pPr>
      <w:numPr>
        <w:numId w:val="11"/>
      </w:numPr>
    </w:pPr>
  </w:style>
  <w:style w:type="paragraph" w:customStyle="1" w:styleId="Sourcetext">
    <w:name w:val="Source text."/>
    <w:basedOn w:val="Normal"/>
    <w:uiPriority w:val="22"/>
    <w:qFormat/>
    <w:rsid w:val="00B405C5"/>
    <w:pPr>
      <w:spacing w:before="60" w:line="190" w:lineRule="exact"/>
    </w:pPr>
    <w:rPr>
      <w:sz w:val="16"/>
      <w:szCs w:val="17"/>
    </w:rPr>
  </w:style>
  <w:style w:type="paragraph" w:customStyle="1" w:styleId="Prussiannavyfootertextright">
    <w:name w:val="Prussian navy footer text (right)"/>
    <w:basedOn w:val="Normal"/>
    <w:uiPriority w:val="33"/>
    <w:qFormat/>
    <w:rsid w:val="00E76513"/>
    <w:pPr>
      <w:ind w:right="170"/>
      <w:jc w:val="right"/>
    </w:pPr>
    <w:rPr>
      <w:bCs/>
      <w:color w:val="001E41" w:themeColor="accent3"/>
      <w:sz w:val="16"/>
      <w:szCs w:val="16"/>
      <w:lang w:eastAsia="ja-JP"/>
    </w:rPr>
  </w:style>
  <w:style w:type="paragraph" w:customStyle="1" w:styleId="TabletextBold0">
    <w:name w:val="Table text (Bold)"/>
    <w:basedOn w:val="Tabletext"/>
    <w:uiPriority w:val="20"/>
    <w:qFormat/>
    <w:rsid w:val="00DB1ECD"/>
    <w:rPr>
      <w:b/>
      <w:bCs/>
      <w:color w:val="000000" w:themeColor="text1"/>
    </w:rPr>
  </w:style>
  <w:style w:type="paragraph" w:customStyle="1" w:styleId="LetteredlistRegular">
    <w:name w:val="Lettered list (Regular)"/>
    <w:uiPriority w:val="13"/>
    <w:rsid w:val="009B0476"/>
    <w:pPr>
      <w:numPr>
        <w:numId w:val="8"/>
      </w:numPr>
      <w:spacing w:after="120" w:line="240" w:lineRule="auto"/>
    </w:pPr>
    <w:rPr>
      <w:rFonts w:eastAsia="Times New Roman" w:cs="Arial"/>
      <w:color w:val="000000"/>
      <w:sz w:val="18"/>
      <w:lang w:eastAsia="ja-JP"/>
    </w:rPr>
  </w:style>
  <w:style w:type="paragraph" w:customStyle="1" w:styleId="LetteredlistBold">
    <w:name w:val="Lettered list (Bold)"/>
    <w:uiPriority w:val="14"/>
    <w:qFormat/>
    <w:rsid w:val="00B556A0"/>
    <w:pPr>
      <w:numPr>
        <w:numId w:val="10"/>
      </w:numPr>
      <w:spacing w:after="120" w:line="240" w:lineRule="auto"/>
    </w:pPr>
    <w:rPr>
      <w:rFonts w:eastAsia="Times New Roman" w:cs="Arial"/>
      <w:b/>
      <w:bCs/>
      <w:color w:val="000000"/>
      <w:sz w:val="18"/>
      <w:szCs w:val="20"/>
      <w:lang w:eastAsia="ja-JP"/>
    </w:rPr>
  </w:style>
  <w:style w:type="paragraph" w:customStyle="1" w:styleId="BulletedtextRegular">
    <w:name w:val="Bulleted text (Regular)"/>
    <w:basedOn w:val="Normal"/>
    <w:uiPriority w:val="9"/>
    <w:qFormat/>
    <w:rsid w:val="009B0476"/>
    <w:pPr>
      <w:numPr>
        <w:numId w:val="6"/>
      </w:numPr>
      <w:spacing w:after="120"/>
    </w:pPr>
    <w:rPr>
      <w:rFonts w:eastAsia="Times New Roman" w:cs="Arial"/>
      <w:sz w:val="18"/>
      <w:lang w:eastAsia="ja-JP"/>
    </w:rPr>
  </w:style>
  <w:style w:type="paragraph" w:customStyle="1" w:styleId="Bodytextforindentedparagraph">
    <w:name w:val="Body text for indented paragraph"/>
    <w:basedOn w:val="BodytextRegular"/>
    <w:qFormat/>
    <w:rsid w:val="009B0476"/>
    <w:pPr>
      <w:ind w:left="425"/>
    </w:pPr>
    <w:rPr>
      <w:rFonts w:eastAsia="Times New Roman" w:cs="Arial"/>
    </w:rPr>
  </w:style>
  <w:style w:type="paragraph" w:customStyle="1" w:styleId="BulletedtextBold">
    <w:name w:val="Bulleted text (Bold)"/>
    <w:basedOn w:val="BulletedtextRegular"/>
    <w:uiPriority w:val="10"/>
    <w:qFormat/>
    <w:rsid w:val="00CD6C35"/>
    <w:rPr>
      <w:b/>
    </w:rPr>
  </w:style>
  <w:style w:type="paragraph" w:customStyle="1" w:styleId="NumberedlistRegular">
    <w:name w:val="Numbered list (Regular)"/>
    <w:basedOn w:val="Normal"/>
    <w:uiPriority w:val="12"/>
    <w:qFormat/>
    <w:rsid w:val="009B0476"/>
    <w:pPr>
      <w:numPr>
        <w:numId w:val="7"/>
      </w:numPr>
      <w:spacing w:after="120"/>
    </w:pPr>
    <w:rPr>
      <w:rFonts w:eastAsia="Times New Roman" w:cs="Arial"/>
      <w:sz w:val="18"/>
      <w:lang w:eastAsia="ja-JP"/>
    </w:rPr>
  </w:style>
  <w:style w:type="paragraph" w:customStyle="1" w:styleId="Paragraphheaderdeepcerulean">
    <w:name w:val="Paragraph header deep cerulean"/>
    <w:basedOn w:val="BodyText"/>
    <w:next w:val="BodytextRegular"/>
    <w:uiPriority w:val="8"/>
    <w:qFormat/>
    <w:rsid w:val="00366D7C"/>
    <w:pPr>
      <w:keepNext/>
      <w:spacing w:before="240"/>
    </w:pPr>
    <w:rPr>
      <w:rFonts w:ascii="Schroders Circular TT" w:hAnsi="Schroders Circular TT"/>
      <w:color w:val="00A2B5" w:themeColor="accent2"/>
      <w:sz w:val="20"/>
      <w:szCs w:val="24"/>
    </w:rPr>
  </w:style>
  <w:style w:type="paragraph" w:customStyle="1" w:styleId="Paragraphheaderprussiannavy">
    <w:name w:val="Paragraph header prussian navy"/>
    <w:basedOn w:val="Paragraphheaderdeepcerulean"/>
    <w:next w:val="BodytextRegular"/>
    <w:uiPriority w:val="7"/>
    <w:qFormat/>
    <w:rsid w:val="00366D7C"/>
    <w:rPr>
      <w:color w:val="001E41" w:themeColor="accent3"/>
    </w:rPr>
  </w:style>
  <w:style w:type="paragraph" w:customStyle="1" w:styleId="Tabletext">
    <w:name w:val="Table text"/>
    <w:uiPriority w:val="19"/>
    <w:qFormat/>
    <w:rsid w:val="009B0476"/>
    <w:pPr>
      <w:spacing w:before="60" w:after="60" w:line="240" w:lineRule="auto"/>
    </w:pPr>
    <w:rPr>
      <w:sz w:val="18"/>
      <w:szCs w:val="24"/>
    </w:rPr>
  </w:style>
  <w:style w:type="paragraph" w:customStyle="1" w:styleId="SectiontitlenumberedToC">
    <w:name w:val="Section title numbered (ToC)"/>
    <w:basedOn w:val="Normal"/>
    <w:next w:val="SectionsubtitleToC"/>
    <w:uiPriority w:val="1"/>
    <w:qFormat/>
    <w:rsid w:val="00893B04"/>
    <w:pPr>
      <w:numPr>
        <w:numId w:val="9"/>
      </w:numPr>
      <w:spacing w:after="240" w:line="276" w:lineRule="auto"/>
      <w:ind w:left="1559" w:hanging="1559"/>
      <w:outlineLvl w:val="0"/>
    </w:pPr>
    <w:rPr>
      <w:rFonts w:ascii="Schroders Circular TT" w:eastAsia="Times New Roman" w:hAnsi="Schroders Circular TT" w:cstheme="majorHAnsi"/>
      <w:color w:val="001E41" w:themeColor="accent3"/>
      <w:sz w:val="32"/>
    </w:rPr>
  </w:style>
  <w:style w:type="paragraph" w:customStyle="1" w:styleId="BodytextRegular">
    <w:name w:val="Body text (Regular)"/>
    <w:basedOn w:val="BodyText"/>
    <w:qFormat/>
    <w:rsid w:val="009B0476"/>
    <w:rPr>
      <w:sz w:val="18"/>
      <w:szCs w:val="20"/>
    </w:rPr>
  </w:style>
  <w:style w:type="table" w:customStyle="1" w:styleId="Table">
    <w:name w:val="Table"/>
    <w:basedOn w:val="TableNormal"/>
    <w:uiPriority w:val="99"/>
    <w:locked/>
    <w:rsid w:val="00BC09C2"/>
    <w:pPr>
      <w:spacing w:before="60" w:after="60" w:line="240" w:lineRule="auto"/>
    </w:pPr>
    <w:rPr>
      <w:sz w:val="18"/>
    </w:rPr>
    <w:tblPr>
      <w:tblStyleRowBandSize w:val="1"/>
      <w:tblStyleColBandSize w:val="1"/>
      <w:tblBorders>
        <w:top w:val="single" w:sz="2" w:space="0" w:color="404040" w:themeColor="text1" w:themeTint="BF"/>
        <w:bottom w:val="single" w:sz="2" w:space="0" w:color="404040" w:themeColor="text1" w:themeTint="BF"/>
        <w:insideH w:val="single" w:sz="2" w:space="0" w:color="404040" w:themeColor="text1" w:themeTint="BF"/>
      </w:tblBorders>
      <w:tblCellMar>
        <w:left w:w="74" w:type="dxa"/>
        <w:right w:w="74" w:type="dxa"/>
      </w:tblCellMar>
    </w:tblPr>
    <w:tcPr>
      <w:vAlign w:val="center"/>
    </w:tcPr>
    <w:tblStylePr w:type="firstRow">
      <w:pPr>
        <w:jc w:val="left"/>
      </w:pPr>
      <w:rPr>
        <w:rFonts w:asciiTheme="minorHAnsi" w:hAnsiTheme="minorHAnsi"/>
        <w:b/>
        <w:color w:val="000000" w:themeColor="text1"/>
        <w:sz w:val="18"/>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shd w:val="clear" w:color="auto" w:fill="E5E8EC"/>
      </w:tcPr>
    </w:tblStylePr>
    <w:tblStylePr w:type="lastRow">
      <w:rPr>
        <w:rFonts w:asciiTheme="minorHAnsi" w:hAnsiTheme="minorHAnsi"/>
        <w:b/>
        <w:color w:val="auto"/>
        <w:sz w:val="18"/>
      </w:rPr>
      <w:tblPr/>
      <w:tcPr>
        <w:tcBorders>
          <w:top w:val="single" w:sz="2" w:space="0" w:color="404040" w:themeColor="text1" w:themeTint="BF"/>
          <w:left w:val="nil"/>
          <w:bottom w:val="single" w:sz="2" w:space="0" w:color="404040" w:themeColor="text1" w:themeTint="BF"/>
          <w:right w:val="nil"/>
          <w:insideH w:val="nil"/>
          <w:insideV w:val="nil"/>
          <w:tl2br w:val="nil"/>
          <w:tr2bl w:val="nil"/>
        </w:tcBorders>
        <w:shd w:val="clear" w:color="auto" w:fill="E5E8EC"/>
      </w:tcPr>
    </w:tblStylePr>
    <w:tblStylePr w:type="firstCol">
      <w:pPr>
        <w:jc w:val="left"/>
      </w:pPr>
      <w:rPr>
        <w:rFonts w:asciiTheme="minorHAnsi" w:hAnsiTheme="minorHAnsi"/>
        <w:b/>
        <w:color w:val="000000" w:themeColor="text1"/>
        <w:sz w:val="18"/>
      </w:rPr>
      <w:tblPr/>
      <w:tcPr>
        <w:shd w:val="clear" w:color="auto" w:fill="E5E8EC"/>
      </w:tcPr>
    </w:tblStylePr>
    <w:tblStylePr w:type="band1Vert">
      <w:tblPr/>
      <w:tcPr>
        <w:tcBorders>
          <w:top w:val="nil"/>
          <w:left w:val="nil"/>
          <w:bottom w:val="nil"/>
          <w:right w:val="nil"/>
          <w:insideH w:val="single" w:sz="4" w:space="0" w:color="4F3398" w:themeColor="accent1"/>
          <w:insideV w:val="nil"/>
        </w:tcBorders>
      </w:tcPr>
    </w:tblStylePr>
    <w:tblStylePr w:type="band2Vert">
      <w:tblPr/>
      <w:tcPr>
        <w:tcBorders>
          <w:insideH w:val="single" w:sz="4" w:space="0" w:color="4F3398" w:themeColor="accent1"/>
        </w:tcBorders>
      </w:tcPr>
    </w:tblStylePr>
    <w:tblStylePr w:type="band1Horz">
      <w:tblPr/>
      <w:tcPr>
        <w:tcBorders>
          <w:insideH w:val="nil"/>
        </w:tcBorders>
      </w:tcPr>
    </w:tblStylePr>
  </w:style>
  <w:style w:type="paragraph" w:customStyle="1" w:styleId="Level3heading">
    <w:name w:val="Level 3 heading"/>
    <w:basedOn w:val="SectionsubtitleToC"/>
    <w:uiPriority w:val="23"/>
    <w:semiHidden/>
    <w:qFormat/>
    <w:rsid w:val="00212B0E"/>
    <w:pPr>
      <w:spacing w:line="300" w:lineRule="exact"/>
      <w:outlineLvl w:val="2"/>
    </w:pPr>
    <w:rPr>
      <w:color w:val="001E41" w:themeColor="text2"/>
      <w:szCs w:val="20"/>
    </w:rPr>
  </w:style>
  <w:style w:type="paragraph" w:customStyle="1" w:styleId="Coverdate">
    <w:name w:val="Cover date"/>
    <w:basedOn w:val="Normal"/>
    <w:next w:val="BodyText"/>
    <w:uiPriority w:val="29"/>
    <w:qFormat/>
    <w:rsid w:val="00366D7C"/>
    <w:pPr>
      <w:spacing w:after="40"/>
      <w:ind w:left="28"/>
    </w:pPr>
    <w:rPr>
      <w:rFonts w:ascii="Schroders Circular TT" w:hAnsi="Schroders Circular TT"/>
      <w:noProof/>
      <w:color w:val="001E41" w:themeColor="accent3"/>
      <w:sz w:val="24"/>
    </w:rPr>
  </w:style>
  <w:style w:type="paragraph" w:styleId="FootnoteText">
    <w:name w:val="footnote text"/>
    <w:aliases w:val="Footnote text"/>
    <w:basedOn w:val="Normal"/>
    <w:link w:val="FootnoteTextChar"/>
    <w:uiPriority w:val="23"/>
    <w:locked/>
    <w:rsid w:val="00B405C5"/>
    <w:pPr>
      <w:spacing w:before="60" w:line="190" w:lineRule="exact"/>
    </w:pPr>
    <w:rPr>
      <w:sz w:val="16"/>
      <w:szCs w:val="20"/>
    </w:rPr>
  </w:style>
  <w:style w:type="character" w:customStyle="1" w:styleId="FootnoteTextChar">
    <w:name w:val="Footnote Text Char"/>
    <w:aliases w:val="Footnote text Char"/>
    <w:basedOn w:val="DefaultParagraphFont"/>
    <w:link w:val="FootnoteText"/>
    <w:uiPriority w:val="23"/>
    <w:rsid w:val="00B405C5"/>
    <w:rPr>
      <w:sz w:val="16"/>
      <w:szCs w:val="20"/>
    </w:rPr>
  </w:style>
  <w:style w:type="character" w:styleId="FootnoteReference">
    <w:name w:val="footnote reference"/>
    <w:basedOn w:val="DefaultParagraphFont"/>
    <w:uiPriority w:val="99"/>
    <w:semiHidden/>
    <w:locked/>
    <w:rsid w:val="00D47DFF"/>
    <w:rPr>
      <w:vertAlign w:val="superscript"/>
    </w:rPr>
  </w:style>
  <w:style w:type="paragraph" w:customStyle="1" w:styleId="Tabletextbullet">
    <w:name w:val="Table text bullet"/>
    <w:basedOn w:val="Tabletext"/>
    <w:uiPriority w:val="21"/>
    <w:qFormat/>
    <w:rsid w:val="009B0476"/>
    <w:pPr>
      <w:numPr>
        <w:numId w:val="13"/>
      </w:numPr>
      <w:ind w:left="284" w:hanging="284"/>
    </w:pPr>
  </w:style>
  <w:style w:type="numbering" w:customStyle="1" w:styleId="b17legalnumberedlist">
    <w:name w:val="b17 legal numbered list"/>
    <w:basedOn w:val="NoList"/>
    <w:uiPriority w:val="99"/>
    <w:locked/>
    <w:rsid w:val="00B7273A"/>
    <w:pPr>
      <w:numPr>
        <w:numId w:val="15"/>
      </w:numPr>
    </w:pPr>
  </w:style>
  <w:style w:type="paragraph" w:customStyle="1" w:styleId="Sub-bulletedtext">
    <w:name w:val="Sub-bulleted text"/>
    <w:basedOn w:val="BodytextRegular"/>
    <w:uiPriority w:val="11"/>
    <w:qFormat/>
    <w:rsid w:val="00275709"/>
    <w:pPr>
      <w:numPr>
        <w:numId w:val="16"/>
      </w:numPr>
      <w:ind w:left="709" w:hanging="284"/>
    </w:pPr>
  </w:style>
  <w:style w:type="paragraph" w:customStyle="1" w:styleId="Multilevellist1ToC">
    <w:name w:val="Multilevel list 1 (ToC)"/>
    <w:basedOn w:val="SectiontitleToC"/>
    <w:next w:val="Multilevellistlevel2ToC"/>
    <w:uiPriority w:val="3"/>
    <w:qFormat/>
    <w:rsid w:val="00953A48"/>
    <w:pPr>
      <w:numPr>
        <w:numId w:val="17"/>
      </w:numPr>
    </w:pPr>
  </w:style>
  <w:style w:type="paragraph" w:customStyle="1" w:styleId="Multilevellistlevel2ToC">
    <w:name w:val="Multilevel list level 2 (ToC)"/>
    <w:basedOn w:val="SectionsubtitleToC"/>
    <w:next w:val="Multilevellistlevel3"/>
    <w:uiPriority w:val="5"/>
    <w:qFormat/>
    <w:rsid w:val="00882875"/>
    <w:pPr>
      <w:numPr>
        <w:ilvl w:val="1"/>
        <w:numId w:val="17"/>
      </w:numPr>
    </w:pPr>
  </w:style>
  <w:style w:type="paragraph" w:customStyle="1" w:styleId="Multilevellistlevel3">
    <w:name w:val="Multilevel list level 3"/>
    <w:basedOn w:val="BodytextRegular"/>
    <w:uiPriority w:val="6"/>
    <w:qFormat/>
    <w:rsid w:val="00953A48"/>
    <w:pPr>
      <w:numPr>
        <w:ilvl w:val="2"/>
        <w:numId w:val="17"/>
      </w:numPr>
    </w:pPr>
  </w:style>
  <w:style w:type="paragraph" w:customStyle="1" w:styleId="Multilevellistlevel4">
    <w:name w:val="Multilevel list level 4"/>
    <w:basedOn w:val="BodytextRegular"/>
    <w:uiPriority w:val="7"/>
    <w:qFormat/>
    <w:rsid w:val="00953A48"/>
    <w:pPr>
      <w:numPr>
        <w:ilvl w:val="3"/>
        <w:numId w:val="17"/>
      </w:numPr>
    </w:pPr>
  </w:style>
  <w:style w:type="table" w:styleId="LightShading-Accent4">
    <w:name w:val="Light Shading Accent 4"/>
    <w:basedOn w:val="TableNormal"/>
    <w:uiPriority w:val="60"/>
    <w:locked/>
    <w:rsid w:val="00251481"/>
    <w:pPr>
      <w:spacing w:after="0" w:line="240" w:lineRule="auto"/>
    </w:pPr>
    <w:rPr>
      <w:color w:val="C1243D" w:themeColor="accent4" w:themeShade="BF"/>
    </w:rPr>
    <w:tblPr>
      <w:tblStyleRowBandSize w:val="1"/>
      <w:tblStyleColBandSize w:val="1"/>
      <w:tblBorders>
        <w:top w:val="single" w:sz="8" w:space="0" w:color="DF536A" w:themeColor="accent4"/>
        <w:bottom w:val="single" w:sz="8" w:space="0" w:color="DF536A" w:themeColor="accent4"/>
      </w:tblBorders>
    </w:tblPr>
    <w:tblStylePr w:type="firstRow">
      <w:pPr>
        <w:spacing w:before="0" w:after="0" w:line="240" w:lineRule="auto"/>
      </w:pPr>
      <w:rPr>
        <w:b/>
        <w:bCs/>
      </w:rPr>
      <w:tblPr/>
      <w:tcPr>
        <w:tcBorders>
          <w:top w:val="single" w:sz="8" w:space="0" w:color="DF536A" w:themeColor="accent4"/>
          <w:left w:val="nil"/>
          <w:bottom w:val="single" w:sz="8" w:space="0" w:color="DF536A" w:themeColor="accent4"/>
          <w:right w:val="nil"/>
          <w:insideH w:val="nil"/>
          <w:insideV w:val="nil"/>
        </w:tcBorders>
      </w:tcPr>
    </w:tblStylePr>
    <w:tblStylePr w:type="lastRow">
      <w:pPr>
        <w:spacing w:before="0" w:after="0" w:line="240" w:lineRule="auto"/>
      </w:pPr>
      <w:rPr>
        <w:b/>
        <w:bCs/>
      </w:rPr>
      <w:tblPr/>
      <w:tcPr>
        <w:tcBorders>
          <w:top w:val="single" w:sz="8" w:space="0" w:color="DF536A" w:themeColor="accent4"/>
          <w:left w:val="nil"/>
          <w:bottom w:val="single" w:sz="8" w:space="0" w:color="DF536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4D9" w:themeFill="accent4" w:themeFillTint="3F"/>
      </w:tcPr>
    </w:tblStylePr>
    <w:tblStylePr w:type="band1Horz">
      <w:tblPr/>
      <w:tcPr>
        <w:tcBorders>
          <w:left w:val="nil"/>
          <w:right w:val="nil"/>
          <w:insideH w:val="nil"/>
          <w:insideV w:val="nil"/>
        </w:tcBorders>
        <w:shd w:val="clear" w:color="auto" w:fill="F7D4D9" w:themeFill="accent4" w:themeFillTint="3F"/>
      </w:tcPr>
    </w:tblStylePr>
  </w:style>
  <w:style w:type="paragraph" w:customStyle="1" w:styleId="Chartandtabletitle">
    <w:name w:val="Chart and table title"/>
    <w:basedOn w:val="Paragraphheaderprussiannavy"/>
    <w:uiPriority w:val="17"/>
    <w:qFormat/>
    <w:rsid w:val="009B0476"/>
    <w:pPr>
      <w:spacing w:after="60"/>
    </w:pPr>
  </w:style>
  <w:style w:type="character" w:styleId="IntenseReference">
    <w:name w:val="Intense Reference"/>
    <w:basedOn w:val="DefaultParagraphFont"/>
    <w:uiPriority w:val="32"/>
    <w:semiHidden/>
    <w:qFormat/>
    <w:locked/>
    <w:rsid w:val="00AD758E"/>
    <w:rPr>
      <w:b/>
      <w:bCs/>
      <w:smallCaps/>
      <w:color w:val="001E41" w:themeColor="accent3"/>
      <w:spacing w:val="5"/>
      <w:u w:val="single"/>
    </w:rPr>
  </w:style>
  <w:style w:type="character" w:styleId="SubtleReference">
    <w:name w:val="Subtle Reference"/>
    <w:basedOn w:val="DefaultParagraphFont"/>
    <w:uiPriority w:val="31"/>
    <w:semiHidden/>
    <w:qFormat/>
    <w:locked/>
    <w:rsid w:val="00AD758E"/>
    <w:rPr>
      <w:smallCaps/>
      <w:color w:val="001E41" w:themeColor="accent3"/>
      <w:u w:val="single"/>
    </w:rPr>
  </w:style>
  <w:style w:type="character" w:styleId="FollowedHyperlink">
    <w:name w:val="FollowedHyperlink"/>
    <w:basedOn w:val="DefaultParagraphFont"/>
    <w:uiPriority w:val="99"/>
    <w:semiHidden/>
    <w:locked/>
    <w:rsid w:val="00AD758E"/>
    <w:rPr>
      <w:color w:val="001E41" w:themeColor="accent3"/>
      <w:u w:val="single"/>
    </w:rPr>
  </w:style>
  <w:style w:type="table" w:styleId="GridTable1Light">
    <w:name w:val="Grid Table 1 Light"/>
    <w:basedOn w:val="TableNormal"/>
    <w:uiPriority w:val="46"/>
    <w:rsid w:val="004448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448D5"/>
    <w:pPr>
      <w:spacing w:after="0" w:line="240" w:lineRule="auto"/>
    </w:pPr>
    <w:tblPr>
      <w:tblStyleRowBandSize w:val="1"/>
      <w:tblStyleColBandSize w:val="1"/>
      <w:tblBorders>
        <w:top w:val="single" w:sz="4" w:space="0" w:color="4D9EFF" w:themeColor="accent3" w:themeTint="66"/>
        <w:left w:val="single" w:sz="4" w:space="0" w:color="4D9EFF" w:themeColor="accent3" w:themeTint="66"/>
        <w:bottom w:val="single" w:sz="4" w:space="0" w:color="4D9EFF" w:themeColor="accent3" w:themeTint="66"/>
        <w:right w:val="single" w:sz="4" w:space="0" w:color="4D9EFF" w:themeColor="accent3" w:themeTint="66"/>
        <w:insideH w:val="single" w:sz="4" w:space="0" w:color="4D9EFF" w:themeColor="accent3" w:themeTint="66"/>
        <w:insideV w:val="single" w:sz="4" w:space="0" w:color="4D9EFF" w:themeColor="accent3" w:themeTint="66"/>
      </w:tblBorders>
    </w:tblPr>
    <w:tblStylePr w:type="firstRow">
      <w:rPr>
        <w:b/>
        <w:bCs/>
      </w:rPr>
      <w:tblPr/>
      <w:tcPr>
        <w:tcBorders>
          <w:bottom w:val="single" w:sz="12" w:space="0" w:color="006FF3" w:themeColor="accent3" w:themeTint="99"/>
        </w:tcBorders>
      </w:tcPr>
    </w:tblStylePr>
    <w:tblStylePr w:type="lastRow">
      <w:rPr>
        <w:b/>
        <w:bCs/>
      </w:rPr>
      <w:tblPr/>
      <w:tcPr>
        <w:tcBorders>
          <w:top w:val="double" w:sz="2" w:space="0" w:color="006FF3" w:themeColor="accent3" w:themeTint="99"/>
        </w:tcBorders>
      </w:tcPr>
    </w:tblStylePr>
    <w:tblStylePr w:type="firstCol">
      <w:rPr>
        <w:b/>
        <w:bCs/>
      </w:rPr>
    </w:tblStylePr>
    <w:tblStylePr w:type="lastCol">
      <w:rPr>
        <w:b/>
        <w:bCs/>
      </w:rPr>
    </w:tblStylePr>
  </w:style>
  <w:style w:type="table" w:styleId="PlainTable5">
    <w:name w:val="Plain Table 5"/>
    <w:basedOn w:val="TableNormal"/>
    <w:uiPriority w:val="45"/>
    <w:rsid w:val="00A70B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isclaimer">
    <w:name w:val="Cover disclaimer"/>
    <w:basedOn w:val="Normal"/>
    <w:uiPriority w:val="26"/>
    <w:qFormat/>
    <w:rsid w:val="00893B04"/>
    <w:pPr>
      <w:tabs>
        <w:tab w:val="center" w:pos="4513"/>
        <w:tab w:val="right" w:pos="9026"/>
      </w:tabs>
      <w:spacing w:after="40"/>
      <w:jc w:val="right"/>
    </w:pPr>
    <w:rPr>
      <w:rFonts w:cstheme="minorHAnsi"/>
      <w:noProof/>
      <w:sz w:val="17"/>
      <w:szCs w:val="18"/>
    </w:rPr>
  </w:style>
  <w:style w:type="paragraph" w:customStyle="1" w:styleId="BodytextBold">
    <w:name w:val="Body text (Bold)"/>
    <w:basedOn w:val="BodytextRegular"/>
    <w:uiPriority w:val="1"/>
    <w:qFormat/>
    <w:rsid w:val="00117130"/>
    <w:rPr>
      <w:b/>
    </w:rPr>
  </w:style>
  <w:style w:type="paragraph" w:customStyle="1" w:styleId="NumberedlistBold">
    <w:name w:val="Numbered list (Bold)"/>
    <w:basedOn w:val="NumberedlistRegular"/>
    <w:uiPriority w:val="12"/>
    <w:qFormat/>
    <w:rsid w:val="009B0476"/>
    <w:rPr>
      <w:b/>
    </w:rPr>
  </w:style>
  <w:style w:type="paragraph" w:styleId="Header">
    <w:name w:val="header"/>
    <w:basedOn w:val="Normal"/>
    <w:link w:val="HeaderChar"/>
    <w:uiPriority w:val="99"/>
    <w:unhideWhenUsed/>
    <w:rsid w:val="00B556A0"/>
    <w:pPr>
      <w:tabs>
        <w:tab w:val="center" w:pos="4513"/>
        <w:tab w:val="right" w:pos="9026"/>
      </w:tabs>
    </w:pPr>
    <w:rPr>
      <w:sz w:val="18"/>
    </w:rPr>
  </w:style>
  <w:style w:type="character" w:customStyle="1" w:styleId="HeaderChar">
    <w:name w:val="Header Char"/>
    <w:basedOn w:val="DefaultParagraphFont"/>
    <w:link w:val="Header"/>
    <w:uiPriority w:val="99"/>
    <w:rsid w:val="00B556A0"/>
    <w:rPr>
      <w:sz w:val="18"/>
    </w:rPr>
  </w:style>
  <w:style w:type="paragraph" w:customStyle="1" w:styleId="Tabletextsub-bullet">
    <w:name w:val="Table text sub-bullet"/>
    <w:basedOn w:val="Tabletextbullet"/>
    <w:uiPriority w:val="21"/>
    <w:qFormat/>
    <w:rsid w:val="002D6067"/>
    <w:pPr>
      <w:ind w:left="568"/>
    </w:pPr>
  </w:style>
  <w:style w:type="character" w:styleId="UnresolvedMention">
    <w:name w:val="Unresolved Mention"/>
    <w:basedOn w:val="DefaultParagraphFont"/>
    <w:uiPriority w:val="99"/>
    <w:semiHidden/>
    <w:rsid w:val="00E76134"/>
    <w:rPr>
      <w:color w:val="605E5C"/>
      <w:shd w:val="clear" w:color="auto" w:fill="E1DFDD"/>
    </w:rPr>
  </w:style>
  <w:style w:type="paragraph" w:styleId="Footer">
    <w:name w:val="footer"/>
    <w:basedOn w:val="Normal"/>
    <w:link w:val="FooterChar"/>
    <w:uiPriority w:val="99"/>
    <w:unhideWhenUsed/>
    <w:qFormat/>
    <w:rsid w:val="00B556A0"/>
    <w:pPr>
      <w:tabs>
        <w:tab w:val="center" w:pos="4513"/>
        <w:tab w:val="right" w:pos="9026"/>
      </w:tabs>
    </w:pPr>
    <w:rPr>
      <w:sz w:val="18"/>
    </w:rPr>
  </w:style>
  <w:style w:type="character" w:customStyle="1" w:styleId="FooterChar">
    <w:name w:val="Footer Char"/>
    <w:basedOn w:val="DefaultParagraphFont"/>
    <w:link w:val="Footer"/>
    <w:uiPriority w:val="99"/>
    <w:rsid w:val="00B556A0"/>
    <w:rPr>
      <w:sz w:val="18"/>
    </w:rPr>
  </w:style>
  <w:style w:type="character" w:styleId="CommentReference">
    <w:name w:val="annotation reference"/>
    <w:basedOn w:val="DefaultParagraphFont"/>
    <w:uiPriority w:val="99"/>
    <w:semiHidden/>
    <w:unhideWhenUsed/>
    <w:locked/>
    <w:rsid w:val="00AB167A"/>
    <w:rPr>
      <w:sz w:val="16"/>
      <w:szCs w:val="16"/>
    </w:rPr>
  </w:style>
  <w:style w:type="paragraph" w:styleId="CommentText">
    <w:name w:val="annotation text"/>
    <w:basedOn w:val="Normal"/>
    <w:link w:val="CommentTextChar"/>
    <w:uiPriority w:val="99"/>
    <w:unhideWhenUsed/>
    <w:locked/>
    <w:rsid w:val="00AB167A"/>
    <w:pPr>
      <w:spacing w:before="80"/>
    </w:pPr>
    <w:rPr>
      <w:rFonts w:ascii="Open Sans Light" w:hAnsi="Open Sans Light"/>
      <w:sz w:val="20"/>
      <w:szCs w:val="20"/>
    </w:rPr>
  </w:style>
  <w:style w:type="character" w:customStyle="1" w:styleId="CommentTextChar">
    <w:name w:val="Comment Text Char"/>
    <w:basedOn w:val="DefaultParagraphFont"/>
    <w:link w:val="CommentText"/>
    <w:uiPriority w:val="99"/>
    <w:rsid w:val="00AB167A"/>
    <w:rPr>
      <w:rFonts w:ascii="Open Sans Light" w:hAnsi="Open Sans Light"/>
      <w:sz w:val="20"/>
      <w:szCs w:val="20"/>
    </w:rPr>
  </w:style>
  <w:style w:type="paragraph" w:styleId="Revision">
    <w:name w:val="Revision"/>
    <w:hidden/>
    <w:uiPriority w:val="99"/>
    <w:semiHidden/>
    <w:rsid w:val="008D41C3"/>
    <w:pPr>
      <w:spacing w:after="0" w:line="240" w:lineRule="auto"/>
    </w:pPr>
    <w:rPr>
      <w:sz w:val="19"/>
    </w:rPr>
  </w:style>
  <w:style w:type="paragraph" w:styleId="CommentSubject">
    <w:name w:val="annotation subject"/>
    <w:basedOn w:val="CommentText"/>
    <w:next w:val="CommentText"/>
    <w:link w:val="CommentSubjectChar"/>
    <w:uiPriority w:val="99"/>
    <w:semiHidden/>
    <w:locked/>
    <w:rsid w:val="00AC4B89"/>
    <w:pPr>
      <w:spacing w:before="0"/>
    </w:pPr>
    <w:rPr>
      <w:rFonts w:asciiTheme="minorHAnsi" w:hAnsiTheme="minorHAnsi"/>
      <w:b/>
      <w:bCs/>
    </w:rPr>
  </w:style>
  <w:style w:type="character" w:customStyle="1" w:styleId="CommentSubjectChar">
    <w:name w:val="Comment Subject Char"/>
    <w:basedOn w:val="CommentTextChar"/>
    <w:link w:val="CommentSubject"/>
    <w:uiPriority w:val="99"/>
    <w:semiHidden/>
    <w:rsid w:val="00AC4B89"/>
    <w:rPr>
      <w:rFonts w:ascii="Open Sans Light" w:hAnsi="Open Sans Light"/>
      <w:b/>
      <w:bCs/>
      <w:sz w:val="20"/>
      <w:szCs w:val="20"/>
    </w:rPr>
  </w:style>
  <w:style w:type="paragraph" w:customStyle="1" w:styleId="RMbody">
    <w:name w:val="R&amp;M body"/>
    <w:basedOn w:val="Normal"/>
    <w:link w:val="RMbodyChar"/>
    <w:qFormat/>
    <w:rsid w:val="00C075D7"/>
    <w:pPr>
      <w:spacing w:before="80" w:line="259" w:lineRule="auto"/>
    </w:pPr>
    <w:rPr>
      <w:rFonts w:ascii="Calibri" w:hAnsi="Calibri"/>
      <w:color w:val="58595B"/>
      <w:sz w:val="22"/>
    </w:rPr>
  </w:style>
  <w:style w:type="character" w:customStyle="1" w:styleId="RMbodyChar">
    <w:name w:val="R&amp;M body Char"/>
    <w:basedOn w:val="DefaultParagraphFont"/>
    <w:link w:val="RMbody"/>
    <w:rsid w:val="00C075D7"/>
    <w:rPr>
      <w:rFonts w:ascii="Calibri" w:hAnsi="Calibri"/>
      <w:color w:val="58595B"/>
    </w:rPr>
  </w:style>
  <w:style w:type="table" w:customStyle="1" w:styleId="RMTable">
    <w:name w:val="R&amp;M Table"/>
    <w:basedOn w:val="TableNormal"/>
    <w:uiPriority w:val="99"/>
    <w:rsid w:val="00C075D7"/>
    <w:pPr>
      <w:spacing w:after="0" w:line="240" w:lineRule="auto"/>
    </w:pPr>
    <w:rPr>
      <w:rFonts w:ascii="Calibri Light" w:hAnsi="Calibri Light"/>
      <w:sz w:val="18"/>
      <w:lang w:val="en-US"/>
    </w:rPr>
    <w:tblPr>
      <w:tblStyleRowBandSize w:val="1"/>
    </w:tblPr>
    <w:tblStylePr w:type="firstRow">
      <w:tblPr/>
      <w:tcPr>
        <w:tcBorders>
          <w:bottom w:val="single" w:sz="4" w:space="0" w:color="58595B"/>
        </w:tcBorders>
      </w:tcPr>
    </w:tblStylePr>
    <w:tblStylePr w:type="band2Horz">
      <w:tblPr/>
      <w:tcPr>
        <w:shd w:val="clear" w:color="auto" w:fill="E1E8EA"/>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420">
      <w:bodyDiv w:val="1"/>
      <w:marLeft w:val="0"/>
      <w:marRight w:val="0"/>
      <w:marTop w:val="0"/>
      <w:marBottom w:val="0"/>
      <w:divBdr>
        <w:top w:val="none" w:sz="0" w:space="0" w:color="auto"/>
        <w:left w:val="none" w:sz="0" w:space="0" w:color="auto"/>
        <w:bottom w:val="none" w:sz="0" w:space="0" w:color="auto"/>
        <w:right w:val="none" w:sz="0" w:space="0" w:color="auto"/>
      </w:divBdr>
    </w:div>
    <w:div w:id="937451031">
      <w:bodyDiv w:val="1"/>
      <w:marLeft w:val="0"/>
      <w:marRight w:val="0"/>
      <w:marTop w:val="0"/>
      <w:marBottom w:val="0"/>
      <w:divBdr>
        <w:top w:val="none" w:sz="0" w:space="0" w:color="auto"/>
        <w:left w:val="none" w:sz="0" w:space="0" w:color="auto"/>
        <w:bottom w:val="none" w:sz="0" w:space="0" w:color="auto"/>
        <w:right w:val="none" w:sz="0" w:space="0" w:color="auto"/>
      </w:divBdr>
      <w:divsChild>
        <w:div w:id="1033768715">
          <w:marLeft w:val="403"/>
          <w:marRight w:val="0"/>
          <w:marTop w:val="40"/>
          <w:marBottom w:val="40"/>
          <w:divBdr>
            <w:top w:val="none" w:sz="0" w:space="0" w:color="auto"/>
            <w:left w:val="none" w:sz="0" w:space="0" w:color="auto"/>
            <w:bottom w:val="none" w:sz="0" w:space="0" w:color="auto"/>
            <w:right w:val="none" w:sz="0" w:space="0" w:color="auto"/>
          </w:divBdr>
        </w:div>
      </w:divsChild>
    </w:div>
    <w:div w:id="1149518623">
      <w:bodyDiv w:val="1"/>
      <w:marLeft w:val="0"/>
      <w:marRight w:val="0"/>
      <w:marTop w:val="0"/>
      <w:marBottom w:val="0"/>
      <w:divBdr>
        <w:top w:val="none" w:sz="0" w:space="0" w:color="auto"/>
        <w:left w:val="none" w:sz="0" w:space="0" w:color="auto"/>
        <w:bottom w:val="none" w:sz="0" w:space="0" w:color="auto"/>
        <w:right w:val="none" w:sz="0" w:space="0" w:color="auto"/>
      </w:divBdr>
    </w:div>
    <w:div w:id="1151601828">
      <w:bodyDiv w:val="1"/>
      <w:marLeft w:val="0"/>
      <w:marRight w:val="0"/>
      <w:marTop w:val="0"/>
      <w:marBottom w:val="0"/>
      <w:divBdr>
        <w:top w:val="none" w:sz="0" w:space="0" w:color="auto"/>
        <w:left w:val="none" w:sz="0" w:space="0" w:color="auto"/>
        <w:bottom w:val="none" w:sz="0" w:space="0" w:color="auto"/>
        <w:right w:val="none" w:sz="0" w:space="0" w:color="auto"/>
      </w:divBdr>
    </w:div>
    <w:div w:id="128438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qr.com/-/media/AQR/Documents/ESG/AQR-Proxy-Voting-Policy.pdf?sc_lang=en&amp;hash=7FFEB296D71C2EE923DC5D1F3EC01024" TargetMode="External"/><Relationship Id="rId18" Type="http://schemas.openxmlformats.org/officeDocument/2006/relationships/hyperlink" Target="https://am.jpmorgan.com/content/dam/jpm-am-aem/global/en/institutional/communications/lux-communication/corporate-governance-principles-and-voting-guidelines.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cor-ip.com/sites/default/files/2024-09/SCOR%20IP_Engagement%20Policy_052024_EN_0.pdf" TargetMode="External"/><Relationship Id="rId7" Type="http://schemas.openxmlformats.org/officeDocument/2006/relationships/settings" Target="settings.xml"/><Relationship Id="rId12" Type="http://schemas.openxmlformats.org/officeDocument/2006/relationships/hyperlink" Target="https://mybrand.schroders.com/m/75fa1cd8dd188c3b/original/613798_SC_Listed-Assets-Blueprint-Report-_Digital_16_9_V12.pdf" TargetMode="External"/><Relationship Id="rId17" Type="http://schemas.openxmlformats.org/officeDocument/2006/relationships/hyperlink" Target="https://cdn.mwam.com/download/MW_Engagement_Policy_Jan_2022.pdf" TargetMode="External"/><Relationship Id="rId25" Type="http://schemas.openxmlformats.org/officeDocument/2006/relationships/hyperlink" Target="https://www.cbreim.com/-/media/project/cbre/bussectors/cbreim/home/about-us/sustainability/cbreim-global-esg-policy.pdf" TargetMode="External"/><Relationship Id="rId2" Type="http://schemas.openxmlformats.org/officeDocument/2006/relationships/customXml" Target="../customXml/item2.xml"/><Relationship Id="rId16" Type="http://schemas.openxmlformats.org/officeDocument/2006/relationships/hyperlink" Target="https://www.lazardassetmanagement.com/docs/669/SustainableInvestmentAndESGIntegration.pdf?utm_source=chatgpt.com" TargetMode="External"/><Relationship Id="rId20" Type="http://schemas.openxmlformats.org/officeDocument/2006/relationships/hyperlink" Target="https://www.blackrock.com/corporate/literature/publication/blackrock-active-investment-stewardship-engagement-and-voting-guidelines.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brand.schroders.com/m/6197143c263420f5/original/Schroders-Group-Sustainable-Investment-Policy.pdf" TargetMode="External"/><Relationship Id="rId24" Type="http://schemas.openxmlformats.org/officeDocument/2006/relationships/hyperlink" Target="https://www.oaktreecapital.com/docs/default-source/default-document-library/esg-policy-2024.pdf" TargetMode="External"/><Relationship Id="rId5" Type="http://schemas.openxmlformats.org/officeDocument/2006/relationships/numbering" Target="numbering.xml"/><Relationship Id="rId15" Type="http://schemas.openxmlformats.org/officeDocument/2006/relationships/hyperlink" Target="https://corporate.vanguard.com/content/dam/corp/advocate/investment-stewardship/pdf/perspectives-and-commentary/guide_to_engaging_vanguard.pdf?utm_source=chatgpt.com" TargetMode="External"/><Relationship Id="rId23" Type="http://schemas.openxmlformats.org/officeDocument/2006/relationships/hyperlink" Target="https://www.nb.com/handlers/documents.ashx?id=aba155d6-e78e-4668-800f-fa69f05d45d0&amp;name=Stewardship%20and%20Engagement%20Policy"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m.jpmorgan.com/content/dam/jpm-am-aem/global/en/investment-stewardship/Engagement-and-proxy-voting-stateme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rporate.vanguard.com/content/dam/corp/advocate/investment-stewardship/pdf/policies-and-reports/global_voting_policy_2025.pdf?utm_source=chatgpt.com" TargetMode="External"/><Relationship Id="rId22" Type="http://schemas.openxmlformats.org/officeDocument/2006/relationships/hyperlink" Target="https://www.troweprice.com/content/dam/trowecorp/Pdfs/esg/proxy-voting-guidelines-TRPA.pdf"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D28209925044BC9311579808E55BD1"/>
        <w:category>
          <w:name w:val="General"/>
          <w:gallery w:val="placeholder"/>
        </w:category>
        <w:types>
          <w:type w:val="bbPlcHdr"/>
        </w:types>
        <w:behaviors>
          <w:behavior w:val="content"/>
        </w:behaviors>
        <w:guid w:val="{7D45C6EC-760D-4022-922F-202576F3959B}"/>
      </w:docPartPr>
      <w:docPartBody>
        <w:p w:rsidR="00B75B95" w:rsidRDefault="00B75B95">
          <w:pPr>
            <w:pStyle w:val="1FD28209925044BC9311579808E55BD1"/>
          </w:pPr>
          <w:r w:rsidRPr="00A63E0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roders Circular TT">
    <w:altName w:val="Calibri"/>
    <w:charset w:val="00"/>
    <w:family w:val="swiss"/>
    <w:pitch w:val="variable"/>
    <w:sig w:usb0="A00000BF" w:usb1="5000E47B" w:usb2="00000008" w:usb3="00000000" w:csb0="00000093" w:csb1="00000000"/>
  </w:font>
  <w:font w:name="SimHei">
    <w:altName w:val="黑体"/>
    <w:panose1 w:val="02010600030101010101"/>
    <w:charset w:val="86"/>
    <w:family w:val="modern"/>
    <w:pitch w:val="fixed"/>
    <w:sig w:usb0="800002BF" w:usb1="38CF7CFA" w:usb2="00000016" w:usb3="00000000" w:csb0="00040001" w:csb1="00000000"/>
  </w:font>
  <w:font w:name="Schroders Circular TT Black">
    <w:charset w:val="00"/>
    <w:family w:val="swiss"/>
    <w:pitch w:val="variable"/>
    <w:sig w:usb0="A00000BF" w:usb1="5000E47B" w:usb2="00000008"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95"/>
    <w:rsid w:val="000365C9"/>
    <w:rsid w:val="000970E0"/>
    <w:rsid w:val="00120C55"/>
    <w:rsid w:val="00254016"/>
    <w:rsid w:val="00365ABA"/>
    <w:rsid w:val="003D1C1E"/>
    <w:rsid w:val="00480DC5"/>
    <w:rsid w:val="0048127F"/>
    <w:rsid w:val="004862CA"/>
    <w:rsid w:val="004D0534"/>
    <w:rsid w:val="004F6A4B"/>
    <w:rsid w:val="005634D5"/>
    <w:rsid w:val="0079015D"/>
    <w:rsid w:val="008727AC"/>
    <w:rsid w:val="00936398"/>
    <w:rsid w:val="00960A58"/>
    <w:rsid w:val="009F49EA"/>
    <w:rsid w:val="00A230AB"/>
    <w:rsid w:val="00A3328A"/>
    <w:rsid w:val="00AF439B"/>
    <w:rsid w:val="00B75B95"/>
    <w:rsid w:val="00BB5D09"/>
    <w:rsid w:val="00BF0F2B"/>
    <w:rsid w:val="00C0773B"/>
    <w:rsid w:val="00C903ED"/>
    <w:rsid w:val="00CE30ED"/>
    <w:rsid w:val="00D12C61"/>
    <w:rsid w:val="00D60513"/>
    <w:rsid w:val="00DC333D"/>
    <w:rsid w:val="00E44FB5"/>
    <w:rsid w:val="00F31DD5"/>
    <w:rsid w:val="00F326DF"/>
    <w:rsid w:val="00F4506F"/>
    <w:rsid w:val="00F51081"/>
    <w:rsid w:val="00F7766E"/>
    <w:rsid w:val="00F81C53"/>
    <w:rsid w:val="00F8715E"/>
    <w:rsid w:val="00FB71EE"/>
    <w:rsid w:val="00FE3FDE"/>
    <w:rsid w:val="00FF63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FD28209925044BC9311579808E55BD1">
    <w:name w:val="1FD28209925044BC9311579808E55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Schroders">
  <a:themeElements>
    <a:clrScheme name="Core Schroders">
      <a:dk1>
        <a:srgbClr val="000000"/>
      </a:dk1>
      <a:lt1>
        <a:srgbClr val="FFFFFF"/>
      </a:lt1>
      <a:dk2>
        <a:srgbClr val="001E41"/>
      </a:dk2>
      <a:lt2>
        <a:srgbClr val="FFFFFF"/>
      </a:lt2>
      <a:accent1>
        <a:srgbClr val="4F3398"/>
      </a:accent1>
      <a:accent2>
        <a:srgbClr val="00A2B5"/>
      </a:accent2>
      <a:accent3>
        <a:srgbClr val="001E41"/>
      </a:accent3>
      <a:accent4>
        <a:srgbClr val="DF536A"/>
      </a:accent4>
      <a:accent5>
        <a:srgbClr val="00796D"/>
      </a:accent5>
      <a:accent6>
        <a:srgbClr val="8471B7"/>
      </a:accent6>
      <a:hlink>
        <a:srgbClr val="001E41"/>
      </a:hlink>
      <a:folHlink>
        <a:srgbClr val="00A2B5"/>
      </a:folHlink>
    </a:clrScheme>
    <a:fontScheme name="Schroders Core">
      <a:majorFont>
        <a:latin typeface="Schroders Circular TT"/>
        <a:ea typeface=""/>
        <a:cs typeface=""/>
      </a:majorFont>
      <a:minorFont>
        <a:latin typeface="No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defPPr algn="ctr">
          <a:defRPr sz="1200" dirty="0"/>
        </a:defPPr>
      </a:lstStyle>
      <a:style>
        <a:lnRef idx="2">
          <a:schemeClr val="accent1">
            <a:shade val="50000"/>
          </a:schemeClr>
        </a:lnRef>
        <a:fillRef idx="1">
          <a:schemeClr val="accent1"/>
        </a:fillRef>
        <a:effectRef idx="0">
          <a:schemeClr val="accent1"/>
        </a:effectRef>
        <a:fontRef idx="minor">
          <a:schemeClr val="lt1"/>
        </a:fontRef>
      </a:style>
    </a:spDef>
    <a:lnDef>
      <a:spPr>
        <a:noFill/>
        <a:ln w="9525">
          <a:solidFill>
            <a:schemeClr val="tx1"/>
          </a:solidFill>
          <a:headEnd type="none" w="med" len="med"/>
          <a:tailEnd type="none" w="med" len="med"/>
        </a:ln>
      </a:spPr>
      <a:bodyPr/>
      <a:lstStyle/>
      <a:style>
        <a:lnRef idx="2">
          <a:schemeClr val="accent1">
            <a:shade val="50000"/>
          </a:schemeClr>
        </a:lnRef>
        <a:fillRef idx="1">
          <a:schemeClr val="accent1"/>
        </a:fillRef>
        <a:effectRef idx="0">
          <a:schemeClr val="accent1"/>
        </a:effectRef>
        <a:fontRef idx="minor">
          <a:schemeClr val="lt1"/>
        </a:fontRef>
      </a:style>
    </a:lnDef>
    <a:txDef>
      <a:spPr>
        <a:noFill/>
      </a:spPr>
      <a:bodyPr wrap="square" lIns="0" tIns="0" rIns="0" bIns="0" rtlCol="0">
        <a:spAutoFit/>
      </a:bodyPr>
      <a:lstStyle>
        <a:defPPr algn="l">
          <a:defRPr sz="1400" dirty="0" err="1" smtClean="0">
            <a:latin typeface="+mn-lt"/>
          </a:defRPr>
        </a:defPPr>
      </a:lstStyle>
    </a:txDef>
  </a:objectDefaults>
  <a:extraClrSchemeLst/>
  <a:custClrLst>
    <a:custClr name="Purple Mid">
      <a:srgbClr val="7D3787"/>
    </a:custClr>
    <a:custClr name="Pink Light">
      <a:srgbClr val="FF90A1"/>
    </a:custClr>
    <a:custClr name="Green Mid">
      <a:srgbClr val="4DA199"/>
    </a:custClr>
    <a:custClr name="Green Light">
      <a:srgbClr val="BAE659"/>
    </a:custClr>
    <a:custClr name="Purple Light">
      <a:srgbClr val="A446BA"/>
    </a:custClr>
    <a:custClr name="Green Bright">
      <a:srgbClr val="63C532"/>
    </a:custClr>
    <a:custClr name="Orange Light">
      <a:srgbClr val="FFDC53"/>
    </a:custClr>
    <a:custClr name="Orange Mid">
      <a:srgbClr val="F8A908"/>
    </a:custClr>
    <a:custClr name="Orange Dark">
      <a:srgbClr val="EA5204"/>
    </a:custClr>
    <a:custClr name="Pink Dark">
      <a:srgbClr val="B71962"/>
    </a:custClr>
    <a:custClr name="Bright blue">
      <a:srgbClr val="0074B7"/>
    </a:custClr>
    <a:custClr name="Positive">
      <a:srgbClr val="63C532"/>
    </a:custClr>
    <a:custClr name="Negative">
      <a:srgbClr val="E00716"/>
    </a:custClr>
    <a:custClr name="Grey Highlight">
      <a:srgbClr val="DCE1E5"/>
    </a:custClr>
  </a:custClrLst>
  <a:extLst>
    <a:ext uri="{05A4C25C-085E-4340-85A3-A5531E510DB2}">
      <thm15:themeFamily xmlns:thm15="http://schemas.microsoft.com/office/thememl/2012/main" name="Schroders" id="{66EC2A85-41C8-4028-A5A5-390651FBAC7E}" vid="{8BADE51D-E074-4D04-A12C-C697C216876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d66dd-bf46-4a0c-acb0-28c6614a1a9f">
      <Terms xmlns="http://schemas.microsoft.com/office/infopath/2007/PartnerControls"/>
    </lcf76f155ced4ddcb4097134ff3c332f>
    <TaxCatchAll xmlns="27d1d453-b94c-4893-9604-3ddb16f7071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5F746C3CD1C84FA5F259DDDB8D4666" ma:contentTypeVersion="14" ma:contentTypeDescription="Create a new document." ma:contentTypeScope="" ma:versionID="2a47c0c4a52c91f1f6ae978f2f130214">
  <xsd:schema xmlns:xsd="http://www.w3.org/2001/XMLSchema" xmlns:xs="http://www.w3.org/2001/XMLSchema" xmlns:p="http://schemas.microsoft.com/office/2006/metadata/properties" xmlns:ns2="5fcd66dd-bf46-4a0c-acb0-28c6614a1a9f" xmlns:ns3="27d1d453-b94c-4893-9604-3ddb16f70714" targetNamespace="http://schemas.microsoft.com/office/2006/metadata/properties" ma:root="true" ma:fieldsID="c622df9ecf88c24297ec36c13a77ed37" ns2:_="" ns3:_="">
    <xsd:import namespace="5fcd66dd-bf46-4a0c-acb0-28c6614a1a9f"/>
    <xsd:import namespace="27d1d453-b94c-4893-9604-3ddb16f70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d66dd-bf46-4a0c-acb0-28c6614a1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8e573c-84cc-4f6b-b377-dd669822e7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d1d453-b94c-4893-9604-3ddb16f707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efb5bc-9e1a-4ca1-a2ca-83dce4268d4d}" ma:internalName="TaxCatchAll" ma:showField="CatchAllData" ma:web="27d1d453-b94c-4893-9604-3ddb16f70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AE1FA-E0B3-4567-B84E-2B876B383FB5}">
  <ds:schemaRefs>
    <ds:schemaRef ds:uri="http://schemas.openxmlformats.org/officeDocument/2006/bibliography"/>
  </ds:schemaRefs>
</ds:datastoreItem>
</file>

<file path=customXml/itemProps2.xml><?xml version="1.0" encoding="utf-8"?>
<ds:datastoreItem xmlns:ds="http://schemas.openxmlformats.org/officeDocument/2006/customXml" ds:itemID="{99723B41-0437-4DC5-8053-C7C1934FF140}">
  <ds:schemaRefs>
    <ds:schemaRef ds:uri="http://schemas.microsoft.com/sharepoint/v3/contenttype/forms"/>
  </ds:schemaRefs>
</ds:datastoreItem>
</file>

<file path=customXml/itemProps3.xml><?xml version="1.0" encoding="utf-8"?>
<ds:datastoreItem xmlns:ds="http://schemas.openxmlformats.org/officeDocument/2006/customXml" ds:itemID="{3DF06245-9F82-49ED-A647-ED1B3E12313D}">
  <ds:schemaRefs>
    <ds:schemaRef ds:uri="http://schemas.microsoft.com/office/2006/metadata/properties"/>
    <ds:schemaRef ds:uri="http://schemas.microsoft.com/office/infopath/2007/PartnerControls"/>
    <ds:schemaRef ds:uri="5fcd66dd-bf46-4a0c-acb0-28c6614a1a9f"/>
    <ds:schemaRef ds:uri="27d1d453-b94c-4893-9604-3ddb16f70714"/>
  </ds:schemaRefs>
</ds:datastoreItem>
</file>

<file path=customXml/itemProps4.xml><?xml version="1.0" encoding="utf-8"?>
<ds:datastoreItem xmlns:ds="http://schemas.openxmlformats.org/officeDocument/2006/customXml" ds:itemID="{91323E1E-7C78-4EE6-A2EA-2B347E5D7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d66dd-bf46-4a0c-acb0-28c6614a1a9f"/>
    <ds:schemaRef ds:uri="27d1d453-b94c-4893-9604-3ddb16f70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f57b6c4-17e4-4965-ac1a-85ccccbe6c4a}" enabled="0" method="" siteId="{2f57b6c4-17e4-4965-ac1a-85ccccbe6c4a}"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3490</Words>
  <Characters>21121</Characters>
  <Application>Microsoft Office Word</Application>
  <DocSecurity>0</DocSecurity>
  <Lines>449</Lines>
  <Paragraphs>203</Paragraphs>
  <ScaleCrop>false</ScaleCrop>
  <HeadingPairs>
    <vt:vector size="2" baseType="variant">
      <vt:variant>
        <vt:lpstr>Title</vt:lpstr>
      </vt:variant>
      <vt:variant>
        <vt:i4>1</vt:i4>
      </vt:variant>
    </vt:vector>
  </HeadingPairs>
  <TitlesOfParts>
    <vt:vector size="1" baseType="lpstr">
      <vt:lpstr>Aberystwyth University Pension &amp; Assurance Scheme (‘Scheme’)</vt:lpstr>
    </vt:vector>
  </TitlesOfParts>
  <Company>Schroders Investment Management</Company>
  <LinksUpToDate>false</LinksUpToDate>
  <CharactersWithSpaces>24408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Aberystwyth University Pension &amp; Assurance Scheme (‘Scheme’)</dc:title>
  <dc:subject/>
  <dc:creator>Allan, Kirsty</dc:creator>
  <dc:description/>
  <cp:lastModifiedBy>Jeremy Mallows [jem49] (Staff)</cp:lastModifiedBy>
  <cp:revision>3</cp:revision>
  <cp:lastPrinted>2025-02-25T12:50:00Z</cp:lastPrinted>
  <dcterms:created xsi:type="dcterms:W3CDTF">2026-01-21T10:53:00Z</dcterms:created>
  <dcterms:modified xsi:type="dcterms:W3CDTF">2026-02-10T12:51:00Z</dcterms:modified>
  <cp:category>Document title with one line</cp:category>
  <dc:identifier/>
  <cp:contentStatus>[Insert a Date]</cp:contentStatus>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0x010100D45F746C3CD1C84FA5F259DDDB8D4666</vt:lpwstr>
  </property>
  <property fmtid="{D5CDD505-2E9C-101B-9397-08002B2CF9AE}" pid="3" name="MediaServiceImageTags">
    <vt:lpwstr/>
  </property>
  <property fmtid="{D5CDD505-2E9C-101B-9397-08002B2CF9AE}" pid="4" name="docLang">
    <vt:lpwstr>en</vt:lpwstr>
  </property>
  <property fmtid="{D5CDD505-2E9C-101B-9397-08002B2CF9AE}" pid="5" name="MSIP_Label_f2dfecbd-fc97-4e8a-a9cd-19ed496c406e_Enabled">
    <vt:lpwstr>true</vt:lpwstr>
  </property>
  <property fmtid="{D5CDD505-2E9C-101B-9397-08002B2CF9AE}" pid="6" name="MSIP_Label_f2dfecbd-fc97-4e8a-a9cd-19ed496c406e_SetDate">
    <vt:lpwstr>2026-01-21T10:53:47Z</vt:lpwstr>
  </property>
  <property fmtid="{D5CDD505-2E9C-101B-9397-08002B2CF9AE}" pid="7" name="MSIP_Label_f2dfecbd-fc97-4e8a-a9cd-19ed496c406e_Method">
    <vt:lpwstr>Standard</vt:lpwstr>
  </property>
  <property fmtid="{D5CDD505-2E9C-101B-9397-08002B2CF9AE}" pid="8" name="MSIP_Label_f2dfecbd-fc97-4e8a-a9cd-19ed496c406e_Name">
    <vt:lpwstr>defa4170-0d19-0005-0004-bc88714345d2</vt:lpwstr>
  </property>
  <property fmtid="{D5CDD505-2E9C-101B-9397-08002B2CF9AE}" pid="9" name="MSIP_Label_f2dfecbd-fc97-4e8a-a9cd-19ed496c406e_SiteId">
    <vt:lpwstr>d47b090e-3f5a-4ca0-84d0-9f89d269f175</vt:lpwstr>
  </property>
  <property fmtid="{D5CDD505-2E9C-101B-9397-08002B2CF9AE}" pid="10" name="MSIP_Label_f2dfecbd-fc97-4e8a-a9cd-19ed496c406e_ActionId">
    <vt:lpwstr>2d7103ba-f54a-4d60-a054-fa4f5f850207</vt:lpwstr>
  </property>
  <property fmtid="{D5CDD505-2E9C-101B-9397-08002B2CF9AE}" pid="11" name="MSIP_Label_f2dfecbd-fc97-4e8a-a9cd-19ed496c406e_ContentBits">
    <vt:lpwstr>0</vt:lpwstr>
  </property>
  <property fmtid="{D5CDD505-2E9C-101B-9397-08002B2CF9AE}" pid="12" name="MSIP_Label_f2dfecbd-fc97-4e8a-a9cd-19ed496c406e_Tag">
    <vt:lpwstr>10, 3, 0, 1</vt:lpwstr>
  </property>
</Properties>
</file>