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B197" w14:textId="38ADDFFB" w:rsidR="006236EF" w:rsidRPr="0020513B" w:rsidRDefault="005C7ACF" w:rsidP="005C7ACF">
      <w:pPr>
        <w:pStyle w:val="NormalWeb"/>
        <w:jc w:val="right"/>
        <w:rPr>
          <w:rStyle w:val="Strong"/>
          <w:rFonts w:ascii="Verdana" w:hAnsi="Verdana"/>
          <w:sz w:val="28"/>
          <w:szCs w:val="28"/>
          <w:lang w:val="cy-GB"/>
        </w:rPr>
      </w:pPr>
      <w:r>
        <w:rPr>
          <w:rFonts w:ascii="Verdana" w:hAnsi="Verdana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C37546" wp14:editId="3976EB73">
            <wp:simplePos x="0" y="0"/>
            <wp:positionH relativeFrom="column">
              <wp:posOffset>-50165</wp:posOffset>
            </wp:positionH>
            <wp:positionV relativeFrom="paragraph">
              <wp:posOffset>-127000</wp:posOffset>
            </wp:positionV>
            <wp:extent cx="1981200" cy="381000"/>
            <wp:effectExtent l="0" t="0" r="0" b="0"/>
            <wp:wrapSquare wrapText="bothSides"/>
            <wp:docPr id="1" name="Picture 1" descr="aber-un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er-uni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3C4">
        <w:rPr>
          <w:rFonts w:ascii="Verdana" w:hAnsi="Verdana" w:cs="Arial"/>
          <w:b/>
          <w:noProof/>
          <w:sz w:val="28"/>
          <w:szCs w:val="28"/>
        </w:rPr>
        <w:t xml:space="preserve"> </w:t>
      </w:r>
      <w:bookmarkStart w:id="0" w:name="_GoBack"/>
      <w:r w:rsidR="0055262F" w:rsidRPr="0020513B">
        <w:rPr>
          <w:rFonts w:ascii="Verdana" w:hAnsi="Verdana" w:cs="Arial"/>
          <w:b/>
          <w:noProof/>
          <w:sz w:val="28"/>
          <w:szCs w:val="28"/>
          <w:lang w:val="cy-GB"/>
        </w:rPr>
        <w:t>Penodiadau Prawf</w:t>
      </w:r>
      <w:bookmarkEnd w:id="0"/>
      <w:r w:rsidR="00D229E9" w:rsidRPr="0020513B">
        <w:rPr>
          <w:rFonts w:ascii="Verdana" w:hAnsi="Verdana" w:cs="Arial"/>
          <w:b/>
          <w:noProof/>
          <w:sz w:val="28"/>
          <w:szCs w:val="28"/>
          <w:lang w:val="cy-GB"/>
        </w:rPr>
        <w:t xml:space="preserve"> </w:t>
      </w:r>
    </w:p>
    <w:p w14:paraId="5CE70300" w14:textId="77777777" w:rsidR="006936FA" w:rsidRPr="0020513B" w:rsidRDefault="006936FA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</w:pPr>
    </w:p>
    <w:p w14:paraId="05E3E419" w14:textId="178D0BFA" w:rsidR="006B733B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1.</w:t>
      </w:r>
      <w:r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Egwyddorion</w:t>
      </w:r>
    </w:p>
    <w:p w14:paraId="14044EB2" w14:textId="18BB6DB2" w:rsidR="00480660" w:rsidRPr="0020513B" w:rsidRDefault="006E1DF7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Mae’r polisi hwn yn berthnasol i aelodau 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staff newydd 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Prifysgol Aberystwyth yn unig.</w:t>
      </w:r>
    </w:p>
    <w:p w14:paraId="12B23853" w14:textId="02F43937" w:rsidR="00F03A40" w:rsidRPr="0020513B" w:rsidRDefault="006E1DF7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Pan benodir aelod 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staff newydd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, un o ofynion y contract fel arfer yw cwblhau cyfnod prawf. Ar ddechrau’r cyfnod hwn, neilltuir mentor i’r aelod 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staff newydd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(gweithiwr ar brawf) a fydd, ynghyd â Chyfarwyddwr yr Athrofa/Pennaeth yr Adran Gwasanaethau Proffesiynol yn pennu rhestr o amcanion i’w cyflawni erbyn dyddiadau targed drwy gydol y cyfnod prawf. Rhaid i’r cynnydd a wneir i gyflawni’r amcanion hyn gael ei fonitro gan Gyfarwyddwr yr Athrofa/Pennaeth yr Adran Gwasanaethau Proffesiynol yn rheolaidd, cyn penderfynu a yw’r cyfnod prawf wedi ei gwblhau’n llwyddiannus ai peidio.</w:t>
      </w:r>
    </w:p>
    <w:p w14:paraId="5A278631" w14:textId="5220BB8B" w:rsidR="00F03A40" w:rsidRPr="0020513B" w:rsidRDefault="006E1DF7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Bydd yr amcanion penodol yn cael eu cadw yn y Cynllun Cyfraniad Effeithiol / ffurflen Cyfnod Prawf sydd i’w gweld yma</w:t>
      </w:r>
      <w:r w:rsidR="00F03A40"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: (</w:t>
      </w: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dolen gyswllt</w:t>
      </w:r>
      <w:r w:rsidR="00F03A40"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)</w:t>
      </w:r>
    </w:p>
    <w:p w14:paraId="3953EEED" w14:textId="2177F1F5" w:rsidR="00017FD1" w:rsidRPr="0020513B" w:rsidRDefault="00B84603" w:rsidP="00017F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2.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Cyfnodau Prawf</w:t>
      </w:r>
      <w:r w:rsidR="00017FD1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:</w:t>
      </w:r>
    </w:p>
    <w:p w14:paraId="6401CDDE" w14:textId="6E43B584" w:rsidR="00017FD1" w:rsidRPr="0020513B" w:rsidRDefault="0055262F" w:rsidP="00017FD1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Categori staff</w:t>
      </w:r>
      <w:r w:rsidR="00017FD1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ab/>
      </w:r>
      <w:r w:rsidR="00017FD1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ab/>
      </w:r>
      <w:r w:rsidR="00017FD1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ab/>
      </w:r>
      <w:r w:rsidR="00017FD1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ab/>
      </w:r>
      <w:r w:rsidR="00EA21E5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ab/>
      </w:r>
      <w:r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Cyfnod prawf</w:t>
      </w:r>
    </w:p>
    <w:p w14:paraId="1625EE07" w14:textId="22F92A30" w:rsidR="00533D43" w:rsidRPr="0020513B" w:rsidRDefault="00CE5C79" w:rsidP="00017FD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Graddfeydd 1-10 (ac eithrio</w:t>
      </w:r>
      <w:r w:rsidR="00533D4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staff academaidd</w:t>
      </w:r>
      <w:r w:rsidR="00533D4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)</w:t>
      </w:r>
      <w:r w:rsidR="00533D4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12 mis o gyfnod prawf</w:t>
      </w:r>
    </w:p>
    <w:p w14:paraId="34439A56" w14:textId="646C8A65" w:rsidR="00017FD1" w:rsidRPr="0020513B" w:rsidRDefault="00D01A2C" w:rsidP="00017FD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Staff academaidd Graddfeydd</w:t>
      </w:r>
      <w:r w:rsidR="00017FD1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6 – </w:t>
      </w:r>
      <w:r w:rsidR="00533D4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10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  <w:t>2 flynedd o gyfnod prawf</w:t>
      </w:r>
    </w:p>
    <w:p w14:paraId="1B747EDE" w14:textId="63C56EA7" w:rsidR="00B84603" w:rsidRPr="0020513B" w:rsidRDefault="0055262F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3.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  <w:t>Rolau a Chyfrifoldebau</w:t>
      </w:r>
    </w:p>
    <w:p w14:paraId="5F33C0BF" w14:textId="11FF25D8" w:rsidR="00B84603" w:rsidRPr="0020513B" w:rsidRDefault="001A1162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Mae gan bob unigolyn sy’n ymwneud </w:t>
      </w:r>
      <w:proofErr w:type="spellStart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â’r</w:t>
      </w:r>
      <w:proofErr w:type="spellEnd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 cyfnod prawf rôl bwysig i’w chwarae i helpu unigolyn i gwblhau cyfnod prawf yn llwyddiannus. Mae’r prif gyfrifoldebau fel a ganlyn</w:t>
      </w:r>
      <w:r w:rsidR="00B84603"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:</w:t>
      </w:r>
    </w:p>
    <w:p w14:paraId="5F763EC5" w14:textId="6B0DAAC3" w:rsidR="00B84603" w:rsidRPr="0020513B" w:rsidRDefault="00B84603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3.1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Y Gweithiwr ar Brawf</w:t>
      </w:r>
    </w:p>
    <w:p w14:paraId="5652EE2C" w14:textId="2080D294" w:rsidR="00B84603" w:rsidRPr="0020513B" w:rsidRDefault="00BC77AD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Cyfrifoldeb y gweithiwr ar brawf fydd sicrhau ei fod yn deall gofynion y rôl yn drylwyr, a’i fod yn ymgysylltu’n llwyr â threfn y cyfnod prawf. </w:t>
      </w:r>
      <w:proofErr w:type="spellStart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Gellir</w:t>
      </w:r>
      <w:proofErr w:type="spellEnd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 dod o hyd i’r ffurflen brawf yma: </w:t>
      </w:r>
      <w:r w:rsidR="008A5049"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 </w:t>
      </w:r>
      <w:hyperlink r:id="rId10" w:history="1">
        <w:r w:rsidRPr="0020513B">
          <w:rPr>
            <w:rStyle w:val="Hyperlink"/>
            <w:rFonts w:ascii="Verdana" w:eastAsia="Times New Roman" w:hAnsi="Verdana" w:cs="Times New Roman"/>
            <w:bCs/>
            <w:sz w:val="20"/>
            <w:szCs w:val="20"/>
            <w:lang w:val="cy-GB" w:eastAsia="en-GB"/>
          </w:rPr>
          <w:t>https://www.aber.ac.uk/cy/hr/ecs/</w:t>
        </w:r>
      </w:hyperlink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.  Os bydd y gweithiwr ar brawf yn teimlo ar unrhyw adeg yn ystod y broses fod yr amcanion wedi newid neu fod y gefnogaeth/hyfforddiant a nodir ar y ffurflen wedi newid, ei gyfrifoldeb ef fydd trefnu adolygiad gyda’r rheolwr llinell i drafod diwygio’r amcanion neu newid blaenoriaethau er mwyn sicrhau bod yr amcanion yn cael eu cyflawni.</w:t>
      </w:r>
      <w:r w:rsidR="00B84603"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 </w:t>
      </w:r>
    </w:p>
    <w:p w14:paraId="4687E952" w14:textId="6C6346E1" w:rsidR="00B84603" w:rsidRPr="0020513B" w:rsidRDefault="00B84603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3.2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Y Rheolwr Llinell</w:t>
      </w:r>
    </w:p>
    <w:p w14:paraId="670ED8BC" w14:textId="24A8206E" w:rsidR="00B84603" w:rsidRPr="0020513B" w:rsidRDefault="006B686E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Rôl y rheolwr llinell fydd sicrhau bod y gweithiwr ar brawf yn deall gofynion y swydd yn llwyr, gosod amcanion perthnasol a </w:t>
      </w:r>
      <w:proofErr w:type="spellStart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chyflawnadwy</w:t>
      </w:r>
      <w:proofErr w:type="spellEnd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 a sicrhau bod yr holl hyfforddiant a chefnogaeth angenrheidiol ar gael i alluogi’r gweithiwr ar brawf i gyflawni’r amcanion a nodir. Mae’r rheolwr llinell hefyd yn gyfrifol am gynnal adolygiadau anffurfiol yn rheolaidd gyda’r gweithiwr ar brawf drwy gydol y cyfnod prawf er mwyn sicrhau bod y gweithiwr ar brawf yn gwneud cynnydd da yn unol </w:t>
      </w:r>
      <w:proofErr w:type="spellStart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â’r</w:t>
      </w:r>
      <w:proofErr w:type="spellEnd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 amcanion a bod unrhyw newidiadau i’r amcanion neu’r hyfforddiant a’r gefnogaeth yn cael eu nodi ar y ffurflen.</w:t>
      </w:r>
      <w:r w:rsidR="00B84603"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 </w:t>
      </w:r>
    </w:p>
    <w:p w14:paraId="3F9D9E5B" w14:textId="2F719AB7" w:rsidR="00B84603" w:rsidRPr="0020513B" w:rsidRDefault="00B84603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3.3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Y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 xml:space="preserve"> Mentor</w:t>
      </w:r>
    </w:p>
    <w:p w14:paraId="1CD0DEC7" w14:textId="6D8B53E4" w:rsidR="00B84603" w:rsidRPr="0020513B" w:rsidRDefault="008240DD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Mae’r mentor yn chwarae rôl bwysig iawn yn ystod y broses brawf. Mae’r mentor yn darparu cefnogaeth emosiynol ac ymarferol i’r gweithiwr ar brawf drwy gydol y cyfnod 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lastRenderedPageBreak/>
        <w:t xml:space="preserve">prawf a </w:t>
      </w:r>
      <w:proofErr w:type="spellStart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gellir</w:t>
      </w:r>
      <w:proofErr w:type="spellEnd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gofyn iddo ymyrryd mewn sefyllfaoedd anodd.  Er mwyn sicrhau bod mentor effeithiol yn cael ei benodi, dylai’r unigolyn a </w:t>
      </w:r>
      <w:proofErr w:type="spellStart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ddewisr</w:t>
      </w:r>
      <w:proofErr w:type="spellEnd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fodloni’r meini prawf canlynol</w:t>
      </w:r>
      <w:r w:rsidR="00B8460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:</w:t>
      </w:r>
    </w:p>
    <w:p w14:paraId="13FF4A58" w14:textId="458FB1C4" w:rsidR="005C7A1C" w:rsidRPr="0020513B" w:rsidRDefault="008240DD" w:rsidP="00B846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Ni fydd, yn y rhan fwyaf o achosion, yn aelod staff yn yr un maes proffesiynol uniongyrchol </w:t>
      </w:r>
      <w:proofErr w:type="spellStart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â’r</w:t>
      </w:r>
      <w:proofErr w:type="spellEnd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gweithiwr ar brawf; bydd </w:t>
      </w:r>
      <w:proofErr w:type="spellStart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hynny’n</w:t>
      </w:r>
      <w:proofErr w:type="spellEnd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sicrhau bod gwrthdar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o posibl o fuddiannau yn cael ei 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osgoi;</w:t>
      </w:r>
      <w:r w:rsidR="00B8460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</w:p>
    <w:p w14:paraId="2DB21EF1" w14:textId="34A37F00" w:rsidR="00B84603" w:rsidRPr="0020513B" w:rsidRDefault="008240DD" w:rsidP="00B8460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Bydd yn aelod profiadol o staff yn yr un categori swydd </w:t>
      </w:r>
      <w:proofErr w:type="spellStart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â’r</w:t>
      </w:r>
      <w:proofErr w:type="spellEnd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gweithiwr ar brawf, e.e. Gweinyddol, Rheoli a Phroffesiynol, Staff Academaidd neu Ymchwil; bydd </w:t>
      </w:r>
      <w:proofErr w:type="spellStart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hynny’n</w:t>
      </w:r>
      <w:proofErr w:type="spellEnd"/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sicrhau bod y gweithiwr ar brawf yn derbyn cyngor sy’n berthnasol i’r 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g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waith a bod cyd-ddealltwriaeth yn cael ei sefydlu.</w:t>
      </w:r>
    </w:p>
    <w:p w14:paraId="2559D12E" w14:textId="48BF9474" w:rsidR="00B84603" w:rsidRPr="0020513B" w:rsidRDefault="00B84603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3.4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Cyfarwyddwr yr Athrofa / Pennaeth yr Adran Gwasanaethau Proffesiynol</w:t>
      </w:r>
    </w:p>
    <w:p w14:paraId="01BA8C16" w14:textId="4112BB29" w:rsidR="00B84603" w:rsidRPr="0020513B" w:rsidRDefault="00EB7381" w:rsidP="00B8460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 xml:space="preserve">Mae Cyfarwyddwr yr Athrofa / Pennaeth yr Adran Gwasanaethau Proffesiynol yn gyfrifol am gadarnhau bod yr amcanion y bydd y gweithiwr ar brawf a’r rheolwr llinell yn cytuno arnynt yn berthnasol ac yn </w:t>
      </w:r>
      <w:proofErr w:type="spellStart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gyflawnadwy</w:t>
      </w:r>
      <w:proofErr w:type="spellEnd"/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, a bod y gefnogaeth sydd ei hangen ar y gweithiwr ar brawf ar gael iddo.</w:t>
      </w:r>
    </w:p>
    <w:p w14:paraId="6C9CC835" w14:textId="7381C751" w:rsidR="00CC7E8A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4.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Gosod Amcanion</w:t>
      </w:r>
    </w:p>
    <w:p w14:paraId="55B99D81" w14:textId="0A5247EC" w:rsidR="00F03A40" w:rsidRPr="0020513B" w:rsidRDefault="00016AEC" w:rsidP="0081044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Mae’r broses yn rhoi pwyslais ar </w:t>
      </w:r>
      <w:r w:rsidRPr="0020513B">
        <w:rPr>
          <w:rFonts w:ascii="Verdana" w:eastAsia="Times New Roman" w:hAnsi="Verdana" w:cs="Times New Roman"/>
          <w:i/>
          <w:sz w:val="20"/>
          <w:szCs w:val="20"/>
          <w:lang w:val="cy-GB" w:eastAsia="en-GB"/>
        </w:rPr>
        <w:t>gefnogi a datblygu staff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i gyflawni’r rôl.</w:t>
      </w:r>
    </w:p>
    <w:p w14:paraId="4CDC3F32" w14:textId="7207E288" w:rsidR="00F03A40" w:rsidRPr="0020513B" w:rsidRDefault="00F03A40" w:rsidP="00810448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D</w:t>
      </w:r>
      <w:r w:rsidR="003B5BEE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atblygiad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 xml:space="preserve">:  </w:t>
      </w:r>
      <w:r w:rsidR="003B5BE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sicrhau bod sgiliau newydd, agweddau, gwybodaeth ac ymddygiad yn cael eu </w:t>
      </w:r>
      <w:proofErr w:type="spellStart"/>
      <w:r w:rsidR="003B5BE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datbygu</w:t>
      </w:r>
      <w:proofErr w:type="spellEnd"/>
      <w:r w:rsidR="003B5BE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a fydd yn helpu’r gweithiwr i gyflawni’r amcanion a llwyddo a dysgu yn y rôl.</w:t>
      </w:r>
    </w:p>
    <w:p w14:paraId="38713921" w14:textId="31227601" w:rsidR="00F03A40" w:rsidRPr="0020513B" w:rsidRDefault="003B5BEE" w:rsidP="00810448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Perfformiad</w:t>
      </w:r>
      <w:r w:rsidR="00F03A40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 xml:space="preserve">: 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gosod targedau a deilliannau ar gyfer y flwyddyn sydd i ddod, a thrafod anghenion </w:t>
      </w:r>
      <w:r w:rsidR="00F85DA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o ran cefnogi a hyfforddi.</w:t>
      </w:r>
    </w:p>
    <w:p w14:paraId="6AA98A44" w14:textId="1B5AD3A3" w:rsidR="00F03A40" w:rsidRPr="0020513B" w:rsidRDefault="00F85DA3" w:rsidP="00810448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Eglurder</w:t>
      </w:r>
      <w:r w:rsidR="00F03A40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 xml:space="preserve">: </w:t>
      </w:r>
      <w:r w:rsidR="006E2071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sicrhau cyd-ddealltwriaeth ynglŷn </w:t>
      </w:r>
      <w:proofErr w:type="spellStart"/>
      <w:r w:rsidR="006E2071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â’r</w:t>
      </w:r>
      <w:proofErr w:type="spellEnd"/>
      <w:r w:rsidR="006E2071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hyn y disgwylir i weithiwr ar brawf ei wneud a sut y mae hynny yn perthyn i amcanion yr adran/athrofa ac amcanion strategol y Brifysgol.</w:t>
      </w:r>
    </w:p>
    <w:p w14:paraId="052A4665" w14:textId="00126179" w:rsidR="00F03A40" w:rsidRPr="0020513B" w:rsidRDefault="00EB7A66" w:rsidP="00B84603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Rhyddid</w:t>
      </w:r>
      <w:r w:rsidR="00F03A40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 xml:space="preserve">: 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I unigolyn drafod ei rôl yn gyffredinol a’i gynlluniau ar gyfer y dyfodol.</w:t>
      </w:r>
    </w:p>
    <w:p w14:paraId="41DB558D" w14:textId="28CB820E" w:rsidR="00CC7E8A" w:rsidRPr="0020513B" w:rsidRDefault="00EB7A66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Rhaid i bob amcan ddilyn trefn SMART</w:t>
      </w:r>
      <w:r w:rsidR="00CC7E8A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:</w:t>
      </w:r>
    </w:p>
    <w:p w14:paraId="166DD94B" w14:textId="5CBDFB51" w:rsidR="00CC7E8A" w:rsidRPr="0020513B" w:rsidRDefault="00EB7A66" w:rsidP="00CC7E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Penodol</w:t>
      </w:r>
    </w:p>
    <w:p w14:paraId="0F35C846" w14:textId="502C41FA" w:rsidR="00CC7E8A" w:rsidRPr="0020513B" w:rsidRDefault="00EB7A66" w:rsidP="00CC7E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Mesuradwy</w:t>
      </w:r>
    </w:p>
    <w:p w14:paraId="1D50D77C" w14:textId="50B12AE9" w:rsidR="00CC7E8A" w:rsidRPr="0020513B" w:rsidRDefault="00EB7A66" w:rsidP="00CC7E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Cyraeddadwy</w:t>
      </w:r>
    </w:p>
    <w:p w14:paraId="41677069" w14:textId="586B7134" w:rsidR="00CC7E8A" w:rsidRPr="0020513B" w:rsidRDefault="00EB7A66" w:rsidP="00CC7E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Ymarferol</w:t>
      </w:r>
    </w:p>
    <w:p w14:paraId="3850471C" w14:textId="05E687B8" w:rsidR="00CC7E8A" w:rsidRPr="0020513B" w:rsidRDefault="00EB7A66" w:rsidP="00CC7E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Cs/>
          <w:sz w:val="20"/>
          <w:szCs w:val="20"/>
          <w:lang w:val="cy-GB" w:eastAsia="en-GB"/>
        </w:rPr>
        <w:t>Amserol</w:t>
      </w:r>
    </w:p>
    <w:p w14:paraId="7AC4C447" w14:textId="7EC9B3F8" w:rsidR="006B733B" w:rsidRPr="0020513B" w:rsidRDefault="00B84603" w:rsidP="006B73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5.</w:t>
      </w:r>
      <w:r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ab/>
      </w:r>
      <w:r w:rsidR="00EB7A66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Trefn y Cyfnod Prawf</w:t>
      </w:r>
    </w:p>
    <w:p w14:paraId="69AAC017" w14:textId="5A784557" w:rsidR="00CC7E8A" w:rsidRPr="0020513B" w:rsidRDefault="00B84603" w:rsidP="006B73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5.1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EB7A6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Mae’n cymryd amser i aelodau 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staff </w:t>
      </w:r>
      <w:r w:rsidR="00EB7A6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newydd o’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r staff ymgyfarwyddo</w:t>
      </w:r>
      <w:r w:rsidR="00EB7A6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  <w:proofErr w:type="spellStart"/>
      <w:r w:rsidR="00EB7A6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â’u</w:t>
      </w:r>
      <w:proofErr w:type="spellEnd"/>
      <w:r w:rsidR="00EB7A6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swyddi</w:t>
      </w:r>
      <w:r w:rsidR="00692F4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, ond mae’n bwysig i’r targedau a’r amcanion gael eu gosod cyn gynted â phosibl. Er mwyn sicrhau cydbwysedd rhwng galluogi staff i ymgartrefu a sicrhau eu bod yn canolbwyntio cyn gynted ag sy’n ymarferol, </w:t>
      </w:r>
      <w:r w:rsidR="00692F47" w:rsidRPr="0020513B">
        <w:rPr>
          <w:rFonts w:ascii="Verdana" w:eastAsia="Times New Roman" w:hAnsi="Verdana" w:cs="Times New Roman"/>
          <w:b/>
          <w:sz w:val="20"/>
          <w:szCs w:val="20"/>
          <w:lang w:val="cy-GB" w:eastAsia="en-GB"/>
        </w:rPr>
        <w:t>rhaid</w:t>
      </w:r>
      <w:r w:rsidR="00692F4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i’r holl staff lenwi’r ffurflen gyda’u rheolw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r llinell o fewn i 4 wythnos ar ôl </w:t>
      </w:r>
      <w:r w:rsidR="00692F4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dechrau’r swydd a rhaid i Gyfarwyddwr yr Athrofa / Pennaeth yr Adran Gwasanaethau Proffesiynol ei llofnodi.</w:t>
      </w:r>
    </w:p>
    <w:p w14:paraId="56982C90" w14:textId="4A014DDF" w:rsidR="006B733B" w:rsidRPr="0020513B" w:rsidRDefault="00B84603" w:rsidP="006B73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5.2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9744C8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Oni bydd y ffurflen wedi’i chwblhau a’i llwytho i</w:t>
      </w:r>
      <w:r w:rsidR="008A5049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  <w:proofErr w:type="spellStart"/>
      <w:r w:rsidR="008A5049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PoblAberPeople</w:t>
      </w:r>
      <w:proofErr w:type="spellEnd"/>
      <w:r w:rsidR="009744C8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o fewn i 4 wythnos ar ôl dechrau’r swydd, bydd</w:t>
      </w:r>
      <w:r w:rsidR="006B733B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  <w:proofErr w:type="spellStart"/>
      <w:r w:rsidR="00C2453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Pobl</w:t>
      </w:r>
      <w:r w:rsidR="009744C8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AberPeople</w:t>
      </w:r>
      <w:proofErr w:type="spellEnd"/>
      <w:r w:rsidR="009744C8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yn anfon neges yn awtomatig i </w:t>
      </w:r>
      <w:r w:rsidR="009744C8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lastRenderedPageBreak/>
        <w:t>atgoffa’r staff perthnasol, ac yn parhau i wneud hynny tan i’r ffurflen gael ei llwytho. Oni bydd yr adolygiad yn cael ei lwytho o fewn i 8 wythnos, rhoddir gwybod i’r Cyfarwyddwr Adnoddau Dynol.</w:t>
      </w:r>
      <w:r w:rsidR="00A432E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</w:p>
    <w:p w14:paraId="26F273F8" w14:textId="0D93086F" w:rsidR="002F5AFD" w:rsidRPr="0020513B" w:rsidRDefault="00B84603" w:rsidP="006B733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5.3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8B217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Bydd neges e-bost yn cael ei hanfon eto ar ôl 6 neu 12 mis* (*gan ddibynnu ar hyd y cyfnod prawf) i atgoffa’r gweithiwr ar brawf a’r rheolwr llinell i gwrdd eto i adolygu’n ffurfiol gynnydd y gweithiwr ar brawf yn ôl yr amcanion gosodedig. Dylid cofnodi adolygiad o gynnydd y gweithiwr ar brawf yn ôl yr amcanion gosodedig ym mhob adran o’r ffurflen. Os bydd anghenion pellach o ran hyfforddiant neu gefnogaeth yn cael eu hadnabod, dylent gael eu nodi. Ar ôl i’r adroddiad gael ei gwblhau, dylai Cyfarwyddwr yr Athrofa/Pennaeth yr Adran Gwasanaethau Proffesiynol ei ystyried a’i lofnodi. </w:t>
      </w:r>
      <w:r w:rsidR="00D3514F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 </w:t>
      </w:r>
    </w:p>
    <w:p w14:paraId="3E57BAE6" w14:textId="43945DF6" w:rsidR="00017FD1" w:rsidRPr="0020513B" w:rsidRDefault="00B84603" w:rsidP="00017FD1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5.4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93191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Oni bydd yr adolygiad wedi ei lwytho i </w:t>
      </w:r>
      <w:proofErr w:type="spellStart"/>
      <w:r w:rsidR="0093191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PoblAberPeople</w:t>
      </w:r>
      <w:proofErr w:type="spellEnd"/>
      <w:r w:rsidR="0093191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o fewn i 7/13mis* ar ôl dechrau’r swydd, bydd </w:t>
      </w:r>
      <w:proofErr w:type="spellStart"/>
      <w:r w:rsidR="0093191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PoblAberPeople</w:t>
      </w:r>
      <w:proofErr w:type="spellEnd"/>
      <w:r w:rsidR="0093191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yn anfon neges e-bost yn awtomatig i atgoffa’r staff perthnasol, ac yn parhau i wneud hynny tan i’r ffurflen gael ei llwytho</w:t>
      </w:r>
      <w:r w:rsidR="00810448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.</w:t>
      </w:r>
      <w:r w:rsidR="0093191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  <w:r w:rsidR="00536B4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Oni bydd yr adolygiad yn cael ei lwytho o fewn i 8/14 mis*, rhoddir gwybod i’r Cyfarwyddwr Adnoddau Dynol.</w:t>
      </w:r>
    </w:p>
    <w:p w14:paraId="46A9E02C" w14:textId="56C594E2" w:rsidR="00DA0FFF" w:rsidRPr="0020513B" w:rsidRDefault="00B84603" w:rsidP="00DA0F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5.5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BD1A5C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Sylweddolir bod dyletswyddau staff yn gallu newid dros amser, ac y gallai hynny effeithio ar natur yr amcanion sydd wedi’u gosod a gallu’r gweithiwr ar brawf i’w cyflawni. Dylai gwyriadau o’r amcanion a gytunwyd gael eu nodi, ynghyd </w:t>
      </w:r>
      <w:proofErr w:type="spellStart"/>
      <w:r w:rsidR="00BD1A5C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â’r</w:t>
      </w:r>
      <w:proofErr w:type="spellEnd"/>
      <w:r w:rsidR="00BD1A5C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rhesymau dros wyro. Bydd </w:t>
      </w:r>
      <w:proofErr w:type="spellStart"/>
      <w:r w:rsidR="00BD1A5C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hynny’n</w:t>
      </w:r>
      <w:proofErr w:type="spellEnd"/>
      <w:r w:rsidR="00BD1A5C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sicrhau nad yw gweithwyr ar brawf yn cael eu cosbi’n annheg am unrhyw newidiadau i amgylchiadau sydd wedi effeithio ar eu perfformiad.</w:t>
      </w:r>
      <w:r w:rsidR="00DA0FFF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</w:p>
    <w:p w14:paraId="7E09D0EC" w14:textId="4B05ECF4" w:rsidR="00DA0FFF" w:rsidRPr="0020513B" w:rsidRDefault="00B84603" w:rsidP="00DA0F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5.6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4E4D3D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Dylai’r gweithiwr ar brawf a’r rheolwr llinell gwrdd yn anffurfiol yn gyson drwy gydol y cyfnod prawf i ddatrys yn fuan unrhyw anawsterau y bydd y gweithiwr ar brawf yn ei gael wrth gyflawni ei amcanion. Cyfrifoldeb y gweithiwr ar brawf fydd rhoi gwybod am anawsterau, a chyfrifoldeb y rheolwr llinell fydd ceisio datrys yr anawsterau. Bydd datrys problemau cyn gynted â phosibl yn sicrhau bod modd mesur perfformiad y gweithiwr ar brawf mor deg a chywir â phosibl.</w:t>
      </w:r>
      <w:r w:rsidR="00DA0FFF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</w:p>
    <w:p w14:paraId="59A0DEE0" w14:textId="640FCAF8" w:rsidR="00CC7E8A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5.7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3E752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Yn ystod mis olaf y cyfnod prawf, bydd </w:t>
      </w:r>
      <w:proofErr w:type="spellStart"/>
      <w:r w:rsidR="003E752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PoblAberPeople</w:t>
      </w:r>
      <w:proofErr w:type="spellEnd"/>
      <w:r w:rsidR="003E752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yn anfon neges e-bost awtomatig at y gweithiwr ar brawf a’r rheolwr llinell yn eu hatgoffa i gwblhau’r adolygiad terfynol o gynnydd y gweithiwr ar brawf yn ôl yr amcanion gosodedig</w:t>
      </w:r>
      <w:r w:rsidR="0028053B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.</w:t>
      </w:r>
      <w:r w:rsidR="003E752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Dylai’r adroddiad terfynol nodi a yw’r amcanion wedi eu cyflawni a chynnwys rhesymau perthnasol yn egluro’r amcanion sydd heb eu cyflawni yn ystod y cyfnod prawf. Ar ôl i’r adroddiad gael ei gwblhau, rhaid i Gyfarwyddwr yr Athrofa/Pennaeth yr Adran Gwasanaethau Proffesiynol nodi a yw’n dymuno i’r penodiad gael e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i gadarnhau ai peidio. Bydd </w:t>
      </w:r>
      <w:r w:rsidR="003E752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y gweithiwr ar brawf </w:t>
      </w:r>
      <w:r w:rsidR="00EA21E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yn cael c</w:t>
      </w:r>
      <w:r w:rsidR="003E752E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yfle i ymateb i’r sylwadau hyn. Ar ôl i’r adroddiad gael ei gwblhau, dylai Cyfarwyddwr yr Athrofa/Pennaeth yr Adran Gwasanaethau Proffesiynol ei ystyried a’i lofnodi.</w:t>
      </w:r>
    </w:p>
    <w:p w14:paraId="0B931C02" w14:textId="4BC35450" w:rsidR="00DA0FFF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5.8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39093A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Lle bydd Cyfarwyddwr yr Athrofa/Pennaeth yr Adran Gwasanaethau Proffesiynol yn argymell bod y gweithiwr ar brawf wedi llwyddo i gwblhau’r cyfnod prawf, bydd yr Adran Adnoddau Dynol yn gofyn i’r </w:t>
      </w:r>
      <w:r w:rsidR="003C70F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Dirprwy Is-Ganghellor priodol</w:t>
      </w:r>
      <w:r w:rsidR="0039093A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gadarnhau’r argymhelliad</w:t>
      </w:r>
      <w:r w:rsidR="00EF1B45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.</w:t>
      </w:r>
      <w:r w:rsidR="0039093A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Ar ôl iddo/iddi wneud hynny, bydd yr Adran AD yn ysgrifennu at y gweithiwr ar brawf i gadarnhau iddo/iddi fod yn llwyddiannus wrth gwblhau’r cyfnod prawf. Bydd y gweithiwr yn trosglwyddo i’r Cynllun Cyfraniad Effeithiol ar gyfer gosod amcanion yn barhaus ac adolygu ei b/pherfformiad bob blwyddyn.</w:t>
      </w:r>
    </w:p>
    <w:p w14:paraId="25A62A08" w14:textId="71C06A85" w:rsidR="006D15D3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5.9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3C70F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Lle bydd Cyfarwyddwr yr Athrofa/Pennaeth yr Adran Gwasanaethau Proffesiynol yn argymell nad yw’r gweithiwr ar brawf wedi cyflawni amcanion y cyfnod prawf, bydd yr Adran AD yn gofyn i’r Dirprwy Is-Ganghellor priodol gadarnhau’r argymhelliad.</w:t>
      </w:r>
      <w:r w:rsidR="00DB4FA9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Bydd AD yn cydgysylltu â Chyfarwyddwr yr Athrofa/Pennaeth yr Adran Gwasanaethau Proffesiynol i ystyried y dewisiadau sydd ar gael.  Bydd y rhain yn cynnwys</w:t>
      </w:r>
      <w:r w:rsidR="006D15D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:-</w:t>
      </w:r>
    </w:p>
    <w:p w14:paraId="14C1A6E0" w14:textId="4CB51C04" w:rsidR="006D15D3" w:rsidRPr="0020513B" w:rsidRDefault="00DB4FA9" w:rsidP="00D229E9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Ymestyn y cyfnod prawf am hyd at 6 mis</w:t>
      </w:r>
    </w:p>
    <w:p w14:paraId="790EEB72" w14:textId="01B49594" w:rsidR="006D15D3" w:rsidRPr="0020513B" w:rsidRDefault="00DB4FA9" w:rsidP="00D229E9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Ystyried gwrandawiad Prawf ffurfiol; gall diswyddo fod yn un o ddeilliannau’r gwrandawiad</w:t>
      </w:r>
    </w:p>
    <w:p w14:paraId="2ECB64CF" w14:textId="7A3B9CEA" w:rsidR="001B1F43" w:rsidRPr="0020513B" w:rsidRDefault="00296740" w:rsidP="005B6F27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eastAsia="Times New Roman" w:hAnsi="Verdana"/>
          <w:sz w:val="20"/>
          <w:szCs w:val="20"/>
          <w:lang w:val="cy-GB" w:eastAsia="en-GB"/>
        </w:rPr>
        <w:t>Lle nad ystyrir ei bod yn briodol i ymestyn y cyfnod prawf yn awtomatig, dylid cynnull gwrandawiad</w:t>
      </w:r>
      <w:r w:rsidR="00FD1705" w:rsidRPr="0020513B">
        <w:rPr>
          <w:rFonts w:ascii="Verdana" w:hAnsi="Verdana"/>
          <w:sz w:val="20"/>
          <w:szCs w:val="20"/>
          <w:lang w:val="cy-GB"/>
        </w:rPr>
        <w:t>.</w:t>
      </w:r>
      <w:r w:rsidRPr="0020513B">
        <w:rPr>
          <w:rFonts w:ascii="Verdana" w:hAnsi="Verdana"/>
          <w:sz w:val="20"/>
          <w:szCs w:val="20"/>
          <w:lang w:val="cy-GB"/>
        </w:rPr>
        <w:t xml:space="preserve"> Bydd yr Adran AD yn ysgrifennu at y gweithiwr i gadarnhau bod y mater yn cael ei gyfeirio at Wrandawiad Prawf (Gweler Atodiad 1) i ystyried y mater. Bydd hawl ganddo/ganddi i ofyn i gynrychiolydd o’r Undebau Llafur neu gydweithiwr i ddod gydag ef/hi i’r cyfarfod.</w:t>
      </w:r>
    </w:p>
    <w:p w14:paraId="4F22F07B" w14:textId="738E0CD1" w:rsidR="00AC1F56" w:rsidRPr="0020513B" w:rsidRDefault="00DD2174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5.1</w:t>
      </w:r>
      <w:r w:rsidR="00D229E9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0</w:t>
      </w:r>
      <w:r w:rsidR="00B84603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FB10F9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Os bydd y Panel Gwrandawiad Prawf yn penderfynu bod y gweithiwr i’w ddiswyddo, bydd y gweithiwr ar brawf yn cael rhybudd ysgrifenedig o ddiswyddo ar sail gallu.</w:t>
      </w:r>
    </w:p>
    <w:p w14:paraId="490A6744" w14:textId="7A15BAEB" w:rsidR="00FD1705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5.1</w:t>
      </w:r>
      <w:r w:rsidR="00D229E9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1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9D7314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Bydd y Gweithiwr ar brawf yn cael gwybod am ei hawl i apelio yn erbyn y penderfyniad.</w:t>
      </w:r>
    </w:p>
    <w:p w14:paraId="1A789F93" w14:textId="6E967477" w:rsidR="00CC7E8A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6.</w:t>
      </w:r>
      <w:r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ab/>
      </w:r>
      <w:r w:rsidR="0055262F" w:rsidRPr="0020513B">
        <w:rPr>
          <w:rFonts w:ascii="Verdana" w:eastAsia="Times New Roman" w:hAnsi="Verdana" w:cs="Times New Roman"/>
          <w:b/>
          <w:bCs/>
          <w:sz w:val="20"/>
          <w:szCs w:val="20"/>
          <w:lang w:val="cy-GB" w:eastAsia="en-GB"/>
        </w:rPr>
        <w:t>Y Drefn Apelio</w:t>
      </w:r>
    </w:p>
    <w:p w14:paraId="208E8E11" w14:textId="35C5CC94" w:rsidR="00CC7E8A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6.1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6E1DF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Yn dilyn penderfyniad y Panel, bydd gan y gweithiwr ar brawf hawl i apelio yn erbyn y penderfyniad i ddiswyddo neu ymestyn y cyfnod prawf.</w:t>
      </w:r>
      <w:r w:rsidR="00AC1F56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</w:p>
    <w:p w14:paraId="17ECD67A" w14:textId="1FED5E2B" w:rsidR="00CC7E8A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6.2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6E1DF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Rhaid i’r cais gael ei wneud trwy ysgrifennu at y Cyfarwyddwr Adnoddau Dynol, gan roi amlinelliad cryno o’r rheswm/rhesymau dros apelio.</w:t>
      </w:r>
    </w:p>
    <w:p w14:paraId="2996AE29" w14:textId="506EE112" w:rsidR="00176310" w:rsidRPr="0020513B" w:rsidRDefault="00B84603" w:rsidP="00CC7E8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6.3</w:t>
      </w: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ab/>
      </w:r>
      <w:r w:rsidR="006E1DF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Bydd y Cyfarwyddwr Adnoddau Dynol neu ddirprwy yn trefnu i gynnull Panel Apeliadau. (Gweler Atodiad 2 am fanylion).</w:t>
      </w:r>
      <w:r w:rsidR="00176310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 </w:t>
      </w:r>
    </w:p>
    <w:p w14:paraId="7A2A0753" w14:textId="00DC0AF2" w:rsidR="00BB4E06" w:rsidRPr="0020513B" w:rsidRDefault="00D3514F" w:rsidP="00D229E9">
      <w:pPr>
        <w:rPr>
          <w:rStyle w:val="Strong"/>
          <w:rFonts w:ascii="Verdana" w:hAnsi="Verdana"/>
          <w:sz w:val="20"/>
          <w:szCs w:val="20"/>
          <w:lang w:val="cy-GB"/>
        </w:rPr>
      </w:pPr>
      <w:r w:rsidRPr="0020513B">
        <w:rPr>
          <w:rStyle w:val="Strong"/>
          <w:rFonts w:ascii="Verdana" w:hAnsi="Verdana"/>
          <w:sz w:val="20"/>
          <w:szCs w:val="20"/>
          <w:lang w:val="cy-GB"/>
        </w:rPr>
        <w:t>7.</w:t>
      </w:r>
      <w:r w:rsidRPr="0020513B">
        <w:rPr>
          <w:rStyle w:val="Strong"/>
          <w:rFonts w:ascii="Verdana" w:hAnsi="Verdana"/>
          <w:sz w:val="20"/>
          <w:szCs w:val="20"/>
          <w:lang w:val="cy-GB"/>
        </w:rPr>
        <w:tab/>
      </w:r>
      <w:r w:rsidR="0055262F" w:rsidRPr="0020513B">
        <w:rPr>
          <w:rStyle w:val="Strong"/>
          <w:rFonts w:ascii="Verdana" w:hAnsi="Verdana"/>
          <w:sz w:val="20"/>
          <w:szCs w:val="20"/>
          <w:lang w:val="cy-GB"/>
        </w:rPr>
        <w:t>ABSENOLDEB TYMOR HIR O’R GWAITH YN YSTOD CYFNOD PRAWF</w:t>
      </w:r>
    </w:p>
    <w:p w14:paraId="79A039B5" w14:textId="09517CBD" w:rsidR="00094064" w:rsidRPr="0020513B" w:rsidRDefault="00326AA6" w:rsidP="0009406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>Efallai bydd</w:t>
      </w:r>
      <w:r w:rsidR="00EA21E5"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 xml:space="preserve"> angen addasu amcanion prawf, </w:t>
      </w:r>
      <w:r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>amserlenn</w:t>
      </w:r>
      <w:r w:rsidR="00EA21E5"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>i a dyddiadau adolygu</w:t>
      </w:r>
      <w:r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 xml:space="preserve"> i ystyried absenoldebau penodol o’r gwaith, e.e. cyfnodau mamolaeth/mabwysiadu, absenoldeb rhiant a/neu absenoldeb salwch tymor hir. Mewn achosion o’r fath, dylai’r rheolwr llinell gytuno </w:t>
      </w:r>
      <w:proofErr w:type="spellStart"/>
      <w:r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>â’r</w:t>
      </w:r>
      <w:proofErr w:type="spellEnd"/>
      <w:r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 xml:space="preserve"> gweithiwr ar brawf i adolygu’r amcanion yn dilyn cyfnod o absenoldeb a chynnig newidiadau yn ôl yr angen er mwyn gallu cyflwyno argymhelliad i Gyfarwyddwr yr Athrofa/Pennaeth yr Adran Gwasanaethau Proffesiynol. Dylai Cyfarwyddwr yr Athrofa/Pennaeth yr Adran Gwasanaethau Proffesiynol ystyried y newidiadau, nodi a fydd yn cefnogi’r argymhellion ai peidio, a llofnodi’r ffurflen. Bydd yr Adran AD yn gofyn i’r Dirprwy Is-Ganghellor priodol gadarnhau’r argymhellion. Ar ôl derbyn penderfyniad y Dirprwy Is-Ganghellor, rhoddir gwybod i’r gweithiwr a diwygio’r ffurflen yn unol â hynny.</w:t>
      </w:r>
    </w:p>
    <w:p w14:paraId="4D01C9A2" w14:textId="595A09B5" w:rsidR="00D3514F" w:rsidRPr="0020513B" w:rsidRDefault="002E4AE3" w:rsidP="00D3514F">
      <w:pPr>
        <w:jc w:val="both"/>
        <w:rPr>
          <w:rStyle w:val="Strong"/>
          <w:rFonts w:ascii="Verdana" w:hAnsi="Verdana"/>
          <w:b w:val="0"/>
          <w:sz w:val="20"/>
          <w:szCs w:val="20"/>
          <w:lang w:val="cy-GB"/>
        </w:rPr>
      </w:pPr>
      <w:r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>Mesur yw hwn i gefnogi’r gweithiwr ar brawf ac i sicrhau bod y cyfnod prawf llawn ar gael iddo gyflawni’r amcanion a gytunwyd a mynychu’r sesiynau hyfforddi/cefnogi perthnasol a nodwyd.</w:t>
      </w:r>
    </w:p>
    <w:p w14:paraId="30AEA919" w14:textId="03A3CFAA" w:rsidR="0002768C" w:rsidRPr="0020513B" w:rsidRDefault="0002768C" w:rsidP="0002768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 w:cs="Arial"/>
          <w:b/>
          <w:sz w:val="20"/>
          <w:szCs w:val="20"/>
          <w:lang w:val="cy-GB"/>
        </w:rPr>
      </w:pPr>
      <w:r w:rsidRPr="0020513B">
        <w:rPr>
          <w:rFonts w:ascii="Verdana" w:hAnsi="Verdana" w:cs="Arial"/>
          <w:b/>
          <w:sz w:val="20"/>
          <w:szCs w:val="20"/>
          <w:lang w:val="cy-GB"/>
        </w:rPr>
        <w:t>8.</w:t>
      </w:r>
      <w:r w:rsidRPr="0020513B">
        <w:rPr>
          <w:rFonts w:ascii="Verdana" w:hAnsi="Verdana" w:cs="Arial"/>
          <w:b/>
          <w:sz w:val="20"/>
          <w:szCs w:val="20"/>
          <w:lang w:val="cy-GB"/>
        </w:rPr>
        <w:tab/>
      </w:r>
      <w:r w:rsidR="0055262F" w:rsidRPr="0020513B">
        <w:rPr>
          <w:rFonts w:ascii="Verdana" w:hAnsi="Verdana" w:cs="Arial"/>
          <w:b/>
          <w:sz w:val="20"/>
          <w:szCs w:val="20"/>
          <w:lang w:val="cy-GB"/>
        </w:rPr>
        <w:t>Adolygu’r Polisi</w:t>
      </w:r>
    </w:p>
    <w:p w14:paraId="3799DF80" w14:textId="75640428" w:rsidR="0002768C" w:rsidRPr="0020513B" w:rsidRDefault="00AC1A8D" w:rsidP="0002768C">
      <w:pPr>
        <w:pStyle w:val="Default"/>
        <w:spacing w:after="120" w:line="276" w:lineRule="auto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color w:val="auto"/>
          <w:sz w:val="20"/>
          <w:szCs w:val="20"/>
          <w:lang w:val="cy-GB"/>
        </w:rPr>
        <w:t>Bydd y Cyfarwyddwr Adnoddau Dynol yn cydlynu adolygiad o Weithdrefn Brawf y Brifysgol bob 3 blynedd i sicrhau cydymffurfiaeth â deddfwriaeth ac arferion da.</w:t>
      </w:r>
      <w:r w:rsidR="0002768C" w:rsidRPr="0020513B">
        <w:rPr>
          <w:rFonts w:ascii="Verdana" w:hAnsi="Verdana"/>
          <w:color w:val="auto"/>
          <w:sz w:val="20"/>
          <w:szCs w:val="20"/>
          <w:lang w:val="cy-GB"/>
        </w:rPr>
        <w:t xml:space="preserve"> </w:t>
      </w:r>
    </w:p>
    <w:p w14:paraId="25200CEA" w14:textId="73C026B7" w:rsidR="0002768C" w:rsidRPr="0020513B" w:rsidRDefault="00AC1A8D" w:rsidP="0002768C">
      <w:pPr>
        <w:pStyle w:val="Default"/>
        <w:spacing w:after="100" w:afterAutospacing="1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Cynhelir yr adolygiad ar y cyd </w:t>
      </w:r>
      <w:proofErr w:type="spellStart"/>
      <w:r w:rsidRPr="0020513B">
        <w:rPr>
          <w:rFonts w:ascii="Verdana" w:hAnsi="Verdana"/>
          <w:color w:val="auto"/>
          <w:sz w:val="20"/>
          <w:szCs w:val="20"/>
          <w:lang w:val="cy-GB"/>
        </w:rPr>
        <w:t>â’r</w:t>
      </w:r>
      <w:proofErr w:type="spellEnd"/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 undebau llafur cydnabyddedig a chyflwynir unrhyw newidiadau i’r Pwyllgor Datblygiad Proffesiynol, Staffio a Chydraddoldeb eu cymeradwyo.</w:t>
      </w:r>
      <w:r w:rsidR="0002768C" w:rsidRPr="0020513B">
        <w:rPr>
          <w:rFonts w:ascii="Verdana" w:hAnsi="Verdana"/>
          <w:color w:val="auto"/>
          <w:sz w:val="20"/>
          <w:szCs w:val="20"/>
          <w:lang w:val="cy-GB"/>
        </w:rPr>
        <w:t xml:space="preserve"> </w:t>
      </w:r>
    </w:p>
    <w:p w14:paraId="599C378F" w14:textId="514B4113" w:rsidR="0002768C" w:rsidRPr="0020513B" w:rsidRDefault="0002768C" w:rsidP="0002768C">
      <w:pPr>
        <w:pStyle w:val="Default"/>
        <w:spacing w:after="100" w:afterAutospacing="1"/>
        <w:jc w:val="both"/>
        <w:rPr>
          <w:rFonts w:ascii="Verdana" w:hAnsi="Verdana"/>
          <w:b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b/>
          <w:color w:val="auto"/>
          <w:sz w:val="20"/>
          <w:szCs w:val="20"/>
          <w:lang w:val="cy-GB"/>
        </w:rPr>
        <w:t xml:space="preserve">9. </w:t>
      </w:r>
      <w:r w:rsidR="0055262F" w:rsidRPr="0020513B">
        <w:rPr>
          <w:rFonts w:ascii="Verdana" w:hAnsi="Verdana"/>
          <w:b/>
          <w:color w:val="auto"/>
          <w:sz w:val="20"/>
          <w:szCs w:val="20"/>
          <w:lang w:val="cy-GB"/>
        </w:rPr>
        <w:t>Asesu’r Effaith ar Gydraddoldeb</w:t>
      </w:r>
    </w:p>
    <w:p w14:paraId="590C5EE3" w14:textId="2D51E056" w:rsidR="0002768C" w:rsidRPr="0020513B" w:rsidRDefault="00AC1A8D" w:rsidP="0002768C">
      <w:pPr>
        <w:pStyle w:val="Default"/>
        <w:spacing w:after="120" w:line="276" w:lineRule="auto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Mae’r Brifysgol yn ymrwymo i ymwreiddio’r Cynllun Cydraddoldeb yn ei pholisïau, gweithdrefnau ac arferion. Mae effaith y polisi hwn ar gydraddoldeb wedi ei asesu yn unol </w:t>
      </w:r>
      <w:proofErr w:type="spellStart"/>
      <w:r w:rsidRPr="0020513B">
        <w:rPr>
          <w:rFonts w:ascii="Verdana" w:hAnsi="Verdana"/>
          <w:color w:val="auto"/>
          <w:sz w:val="20"/>
          <w:szCs w:val="20"/>
          <w:lang w:val="cy-GB"/>
        </w:rPr>
        <w:t>â’r</w:t>
      </w:r>
      <w:proofErr w:type="spellEnd"/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 cynllun hwn.</w:t>
      </w:r>
    </w:p>
    <w:p w14:paraId="3ABDB0B6" w14:textId="77777777" w:rsidR="00094064" w:rsidRPr="0020513B" w:rsidRDefault="00094064" w:rsidP="00D3514F">
      <w:pPr>
        <w:jc w:val="both"/>
        <w:rPr>
          <w:rStyle w:val="Strong"/>
          <w:rFonts w:ascii="Verdana" w:hAnsi="Verdana"/>
          <w:b w:val="0"/>
          <w:sz w:val="20"/>
          <w:szCs w:val="20"/>
          <w:lang w:val="cy-GB"/>
        </w:rPr>
      </w:pPr>
    </w:p>
    <w:p w14:paraId="1A31114F" w14:textId="77777777" w:rsidR="00094064" w:rsidRPr="0020513B" w:rsidRDefault="00094064" w:rsidP="00D3514F">
      <w:pPr>
        <w:jc w:val="both"/>
        <w:rPr>
          <w:rStyle w:val="Strong"/>
          <w:rFonts w:ascii="Verdana" w:hAnsi="Verdana"/>
          <w:b w:val="0"/>
          <w:sz w:val="20"/>
          <w:szCs w:val="20"/>
          <w:lang w:val="cy-GB"/>
        </w:rPr>
      </w:pPr>
    </w:p>
    <w:p w14:paraId="2D2E3721" w14:textId="10033F2E" w:rsidR="00176310" w:rsidRPr="0020513B" w:rsidRDefault="0055262F" w:rsidP="00D229E9">
      <w:pPr>
        <w:rPr>
          <w:rStyle w:val="Strong"/>
          <w:rFonts w:ascii="Verdana" w:eastAsia="Times New Roman" w:hAnsi="Verdana" w:cs="Times New Roman"/>
          <w:b w:val="0"/>
          <w:sz w:val="20"/>
          <w:szCs w:val="20"/>
          <w:lang w:val="cy-GB" w:eastAsia="en-GB"/>
        </w:rPr>
      </w:pPr>
      <w:r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>Terfynol 5 Aw</w:t>
      </w:r>
      <w:r w:rsidR="00480660"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t>st 2016</w:t>
      </w:r>
      <w:r w:rsidR="005B6F27" w:rsidRPr="0020513B">
        <w:rPr>
          <w:rStyle w:val="Strong"/>
          <w:rFonts w:ascii="Verdana" w:hAnsi="Verdana"/>
          <w:b w:val="0"/>
          <w:sz w:val="20"/>
          <w:szCs w:val="20"/>
          <w:lang w:val="cy-GB"/>
        </w:rPr>
        <w:br w:type="page"/>
      </w:r>
    </w:p>
    <w:p w14:paraId="78773D08" w14:textId="26788205" w:rsidR="00176310" w:rsidRPr="0020513B" w:rsidRDefault="0055262F" w:rsidP="00176310">
      <w:pPr>
        <w:pStyle w:val="Default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b/>
          <w:bCs/>
          <w:sz w:val="20"/>
          <w:szCs w:val="20"/>
          <w:lang w:val="cy-GB"/>
        </w:rPr>
        <w:t>Atodiad</w:t>
      </w:r>
      <w:r w:rsidR="00176310" w:rsidRPr="0020513B">
        <w:rPr>
          <w:rFonts w:ascii="Verdana" w:hAnsi="Verdana"/>
          <w:b/>
          <w:bCs/>
          <w:sz w:val="20"/>
          <w:szCs w:val="20"/>
          <w:lang w:val="cy-GB"/>
        </w:rPr>
        <w:t xml:space="preserve"> 1 </w:t>
      </w:r>
    </w:p>
    <w:p w14:paraId="116D5E5C" w14:textId="684E7A38" w:rsidR="00176310" w:rsidRPr="0020513B" w:rsidRDefault="0055262F" w:rsidP="00176310">
      <w:pPr>
        <w:pStyle w:val="Default"/>
        <w:rPr>
          <w:rFonts w:ascii="Verdana" w:hAnsi="Verdana"/>
          <w:b/>
          <w:sz w:val="20"/>
          <w:szCs w:val="20"/>
          <w:lang w:val="cy-GB"/>
        </w:rPr>
      </w:pPr>
      <w:r w:rsidRPr="0020513B">
        <w:rPr>
          <w:rFonts w:ascii="Verdana" w:hAnsi="Verdana"/>
          <w:b/>
          <w:sz w:val="20"/>
          <w:szCs w:val="20"/>
          <w:lang w:val="cy-GB"/>
        </w:rPr>
        <w:t xml:space="preserve">Gweithdrefn ar gyfer gwrandawiadau prawf </w:t>
      </w:r>
      <w:r w:rsidR="00A34702" w:rsidRPr="0020513B">
        <w:rPr>
          <w:rFonts w:ascii="Verdana" w:hAnsi="Verdana"/>
          <w:b/>
          <w:sz w:val="20"/>
          <w:szCs w:val="20"/>
          <w:lang w:val="cy-GB"/>
        </w:rPr>
        <w:t>ffurfiol</w:t>
      </w:r>
    </w:p>
    <w:p w14:paraId="2BC9AC0A" w14:textId="77777777" w:rsidR="00176310" w:rsidRPr="0020513B" w:rsidRDefault="00176310" w:rsidP="00176310">
      <w:pPr>
        <w:pStyle w:val="Default"/>
        <w:rPr>
          <w:rFonts w:ascii="Verdana" w:hAnsi="Verdana"/>
          <w:b/>
          <w:sz w:val="20"/>
          <w:szCs w:val="20"/>
          <w:lang w:val="cy-GB"/>
        </w:rPr>
      </w:pPr>
    </w:p>
    <w:p w14:paraId="72D9D372" w14:textId="15FCF1A5" w:rsidR="00176310" w:rsidRPr="0020513B" w:rsidRDefault="00D07CEB" w:rsidP="00ED2BFF">
      <w:pPr>
        <w:pStyle w:val="Default"/>
        <w:jc w:val="both"/>
        <w:rPr>
          <w:rFonts w:ascii="Verdana" w:hAnsi="Verdana"/>
          <w:b/>
          <w:sz w:val="20"/>
          <w:szCs w:val="20"/>
          <w:lang w:val="cy-GB"/>
        </w:rPr>
      </w:pPr>
      <w:r w:rsidRPr="0020513B">
        <w:rPr>
          <w:rFonts w:ascii="Verdana" w:hAnsi="Verdana"/>
          <w:b/>
          <w:sz w:val="20"/>
          <w:szCs w:val="20"/>
          <w:lang w:val="cy-GB"/>
        </w:rPr>
        <w:t>Rhagarweiniad</w:t>
      </w:r>
    </w:p>
    <w:p w14:paraId="367759AD" w14:textId="77777777" w:rsidR="0028347A" w:rsidRPr="0020513B" w:rsidRDefault="0028347A" w:rsidP="00ED2BFF">
      <w:pPr>
        <w:pStyle w:val="Default"/>
        <w:jc w:val="both"/>
        <w:rPr>
          <w:rFonts w:ascii="Verdana" w:hAnsi="Verdana"/>
          <w:b/>
          <w:sz w:val="20"/>
          <w:szCs w:val="20"/>
          <w:lang w:val="cy-GB"/>
        </w:rPr>
      </w:pPr>
    </w:p>
    <w:p w14:paraId="2CEC9D79" w14:textId="0D174893" w:rsidR="0028347A" w:rsidRPr="0020513B" w:rsidRDefault="00D07CEB" w:rsidP="0028347A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y panel prawf yn cynnwys Dirprwy Is-Ganghellor a fydd yn cadeirio’r panel a Chyfarwyddwr Athrofa neu Bennaeth Adran Gwasanaethau Proffesiynol yn achos staff gwasanaethau proffesiynol</w:t>
      </w:r>
      <w:r w:rsidR="0028347A" w:rsidRPr="0020513B">
        <w:rPr>
          <w:rFonts w:ascii="Verdana" w:hAnsi="Verdana"/>
          <w:sz w:val="20"/>
          <w:szCs w:val="20"/>
          <w:lang w:val="cy-GB"/>
        </w:rPr>
        <w:t>.</w:t>
      </w:r>
      <w:r w:rsidRPr="0020513B">
        <w:rPr>
          <w:rFonts w:ascii="Verdana" w:hAnsi="Verdana"/>
          <w:sz w:val="20"/>
          <w:szCs w:val="20"/>
          <w:lang w:val="cy-GB"/>
        </w:rPr>
        <w:t xml:space="preserve"> Ni fydd aelodau’r panel yn perthyn i’r un adran </w:t>
      </w:r>
      <w:proofErr w:type="spellStart"/>
      <w:r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 xml:space="preserve"> gweithiwr ar brawf ac ni fyddant wedi ymwneud </w:t>
      </w:r>
      <w:proofErr w:type="spellStart"/>
      <w:r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 xml:space="preserve"> achos cyn hyn nac unrhyw achos arall y bu’r gweithiwr ar brawf yn rhan ohono.</w:t>
      </w:r>
    </w:p>
    <w:p w14:paraId="565152E7" w14:textId="76D8B763" w:rsidR="00176310" w:rsidRPr="0020513B" w:rsidRDefault="00D07CEB" w:rsidP="00176310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cadeirydd y panel prawf yn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:- </w:t>
      </w:r>
    </w:p>
    <w:p w14:paraId="08E6595D" w14:textId="77777777" w:rsidR="00176310" w:rsidRPr="0020513B" w:rsidRDefault="00176310" w:rsidP="00176310">
      <w:pPr>
        <w:pStyle w:val="Default"/>
        <w:ind w:left="795"/>
        <w:jc w:val="both"/>
        <w:rPr>
          <w:rFonts w:ascii="Verdana" w:hAnsi="Verdana"/>
          <w:sz w:val="20"/>
          <w:szCs w:val="20"/>
          <w:lang w:val="cy-GB"/>
        </w:rPr>
      </w:pPr>
    </w:p>
    <w:p w14:paraId="07FEF86A" w14:textId="1846FB52" w:rsidR="00176310" w:rsidRPr="0020513B" w:rsidRDefault="00D07CEB" w:rsidP="00176310">
      <w:pPr>
        <w:pStyle w:val="Default"/>
        <w:numPr>
          <w:ilvl w:val="0"/>
          <w:numId w:val="16"/>
        </w:numPr>
        <w:spacing w:after="57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Cyflwyno’r bobl sy’n bresennol i’r gweithiwr ac yn egluro pwrpas y gwrandawiad ffurfiol, sef i ystyried perfformiad y gweithiwr yn ystod y cyfnod prawf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; </w:t>
      </w:r>
    </w:p>
    <w:p w14:paraId="5B8CB3C0" w14:textId="774B0E80" w:rsidR="00176310" w:rsidRPr="0020513B" w:rsidRDefault="00D07CEB" w:rsidP="00176310">
      <w:pPr>
        <w:pStyle w:val="Default"/>
        <w:numPr>
          <w:ilvl w:val="0"/>
          <w:numId w:val="16"/>
        </w:numPr>
        <w:spacing w:after="57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Cadarnhau bod y gweithiwr a’i gynrychiolydd wedi derbyn copïau o ddogfennau neu ddatganiadau ysgrifenedig a luniwyd i gefnogi’r achos yn erbyn y gweithiwr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; </w:t>
      </w:r>
    </w:p>
    <w:p w14:paraId="3FD8C443" w14:textId="3FF0D628" w:rsidR="00176310" w:rsidRPr="0020513B" w:rsidRDefault="00D07CEB" w:rsidP="00176310">
      <w:pPr>
        <w:pStyle w:val="Default"/>
        <w:numPr>
          <w:ilvl w:val="0"/>
          <w:numId w:val="16"/>
        </w:numPr>
        <w:spacing w:after="57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Egluro sut y bydd y gwrandawiad yn cael ei gynnal, a chadarnhau y bydd y cyfranogion yn cael cyflwyno eu tystiolaeth heb ymyrraeth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; </w:t>
      </w:r>
    </w:p>
    <w:p w14:paraId="79EE0D50" w14:textId="7287F542" w:rsidR="00176310" w:rsidRPr="0020513B" w:rsidRDefault="00D07CEB" w:rsidP="00176310">
      <w:pPr>
        <w:pStyle w:val="Default"/>
        <w:numPr>
          <w:ilvl w:val="0"/>
          <w:numId w:val="16"/>
        </w:num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y gwrandawiad yn cael ei recordio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  <w:r w:rsidRPr="0020513B">
        <w:rPr>
          <w:rFonts w:ascii="Verdana" w:hAnsi="Verdana"/>
          <w:sz w:val="20"/>
          <w:szCs w:val="20"/>
          <w:lang w:val="cy-GB"/>
        </w:rPr>
        <w:t xml:space="preserve"> Bydd copi o’r recordiad yn cael ei gadw ond ni fydd fel arfer yn cael ei drawsgrifio. Os derbynnir apêl ar ôl y gwrandawiad, dim ond os yw’r holl bartïon yn cytuno y byddai trawsgrifio’r recordiad o gymorth i’r broses apelio y bydd hynny yn digwydd. Oni cheir cytundeb, bydd copi o’r recordiad yn cael ei ddosbarthu i’r gweithiwr ac aelodau’r panel.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3C81A123" w14:textId="77777777" w:rsidR="00176310" w:rsidRPr="0020513B" w:rsidRDefault="00176310" w:rsidP="00176310">
      <w:pPr>
        <w:pStyle w:val="Default"/>
        <w:rPr>
          <w:rFonts w:ascii="Verdana" w:hAnsi="Verdana"/>
          <w:sz w:val="20"/>
          <w:szCs w:val="20"/>
          <w:lang w:val="cy-GB"/>
        </w:rPr>
      </w:pPr>
    </w:p>
    <w:p w14:paraId="540F84EB" w14:textId="740AC73F" w:rsidR="00176310" w:rsidRPr="0020513B" w:rsidRDefault="00976720" w:rsidP="00176310">
      <w:pPr>
        <w:pStyle w:val="Default"/>
        <w:numPr>
          <w:ilvl w:val="0"/>
          <w:numId w:val="17"/>
        </w:numPr>
        <w:rPr>
          <w:rFonts w:ascii="Verdana" w:hAnsi="Verdana"/>
          <w:b/>
          <w:bCs/>
          <w:sz w:val="20"/>
          <w:szCs w:val="20"/>
          <w:lang w:val="cy-GB"/>
        </w:rPr>
      </w:pPr>
      <w:r w:rsidRPr="0020513B">
        <w:rPr>
          <w:rFonts w:ascii="Verdana" w:hAnsi="Verdana"/>
          <w:b/>
          <w:bCs/>
          <w:sz w:val="20"/>
          <w:szCs w:val="20"/>
          <w:lang w:val="cy-GB"/>
        </w:rPr>
        <w:t>Rheolwyr yn cyflwyno’r achos</w:t>
      </w:r>
    </w:p>
    <w:p w14:paraId="726B16F7" w14:textId="77777777" w:rsidR="00176310" w:rsidRPr="0020513B" w:rsidRDefault="00176310" w:rsidP="00176310">
      <w:pPr>
        <w:pStyle w:val="Default"/>
        <w:ind w:left="360"/>
        <w:rPr>
          <w:rFonts w:ascii="Verdana" w:hAnsi="Verdana"/>
          <w:sz w:val="20"/>
          <w:szCs w:val="20"/>
          <w:lang w:val="cy-GB"/>
        </w:rPr>
      </w:pPr>
    </w:p>
    <w:p w14:paraId="115CFBA4" w14:textId="0D818FDC" w:rsidR="00176310" w:rsidRPr="0020513B" w:rsidRDefault="006C291D" w:rsidP="00176310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Bydd cadeirydd y panel yn datgan y problemau ynglŷn </w:t>
      </w:r>
      <w:proofErr w:type="spellStart"/>
      <w:r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 xml:space="preserve"> perfformiad sy’n cael eu hamlinellu yn y llythyr at y gweithiwr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  <w:r w:rsidRPr="0020513B">
        <w:rPr>
          <w:rFonts w:ascii="Verdana" w:hAnsi="Verdana"/>
          <w:sz w:val="20"/>
          <w:szCs w:val="20"/>
          <w:lang w:val="cy-GB"/>
        </w:rPr>
        <w:t xml:space="preserve"> Yna gofynnir i Gyfarwyddwr Athrofa/Pennaeth Adran Gwasanaethau Proffesiynol adran/athrofa’r gweithiwr gyflw</w:t>
      </w:r>
      <w:r w:rsidR="00F042D3" w:rsidRPr="0020513B">
        <w:rPr>
          <w:rFonts w:ascii="Verdana" w:hAnsi="Verdana"/>
          <w:sz w:val="20"/>
          <w:szCs w:val="20"/>
          <w:lang w:val="cy-GB"/>
        </w:rPr>
        <w:t>yno’r dystiolaeth, crynhoi hanes</w:t>
      </w:r>
      <w:r w:rsidRPr="0020513B">
        <w:rPr>
          <w:rFonts w:ascii="Verdana" w:hAnsi="Verdana"/>
          <w:sz w:val="20"/>
          <w:szCs w:val="20"/>
          <w:lang w:val="cy-GB"/>
        </w:rPr>
        <w:t xml:space="preserve"> yr achos, yn cynnwys y camau a gymerwyd i gynorthwyo’r gweithiwr i gyrraedd y safon sy’n ofynnol o ran perfformio. Gall y naill barti a’r llall alw tystion os bydd angen. Gall y gweithiwr, neu gynrychiolydd y gweithiwr, ac aelodau’r panel holi’r tystion. Gelwir ar bob tyst i roi tystiolaeth a bydd yn gadael ar ôl gwneud hynny, ond gall Cadeirydd y panel ofyn iddo/iddi ddychwelyd.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372E8A6F" w14:textId="77777777" w:rsidR="00176310" w:rsidRPr="0020513B" w:rsidRDefault="00176310" w:rsidP="00176310">
      <w:pPr>
        <w:pStyle w:val="Default"/>
        <w:rPr>
          <w:rFonts w:ascii="Verdana" w:hAnsi="Verdana"/>
          <w:b/>
          <w:bCs/>
          <w:color w:val="auto"/>
          <w:sz w:val="20"/>
          <w:szCs w:val="20"/>
          <w:lang w:val="cy-GB"/>
        </w:rPr>
      </w:pPr>
    </w:p>
    <w:p w14:paraId="0F81A596" w14:textId="4E22B559" w:rsidR="00176310" w:rsidRPr="0020513B" w:rsidRDefault="00976720" w:rsidP="00ED2BFF">
      <w:pPr>
        <w:pStyle w:val="Default"/>
        <w:numPr>
          <w:ilvl w:val="0"/>
          <w:numId w:val="17"/>
        </w:numPr>
        <w:rPr>
          <w:rFonts w:ascii="Verdana" w:hAnsi="Verdana"/>
          <w:b/>
          <w:bCs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b/>
          <w:bCs/>
          <w:color w:val="auto"/>
          <w:sz w:val="20"/>
          <w:szCs w:val="20"/>
          <w:lang w:val="cy-GB"/>
        </w:rPr>
        <w:t>Ateb y gweithiwr</w:t>
      </w:r>
    </w:p>
    <w:p w14:paraId="3F2AD07A" w14:textId="77777777" w:rsidR="00ED2BFF" w:rsidRPr="0020513B" w:rsidRDefault="00ED2BFF" w:rsidP="00ED2BFF">
      <w:pPr>
        <w:pStyle w:val="Default"/>
        <w:ind w:left="360"/>
        <w:rPr>
          <w:rFonts w:ascii="Verdana" w:hAnsi="Verdana"/>
          <w:color w:val="auto"/>
          <w:sz w:val="20"/>
          <w:szCs w:val="20"/>
          <w:lang w:val="cy-GB"/>
        </w:rPr>
      </w:pPr>
    </w:p>
    <w:p w14:paraId="7BBA1620" w14:textId="1DCD01B3" w:rsidR="00176310" w:rsidRPr="0020513B" w:rsidRDefault="00BD7017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color w:val="auto"/>
          <w:sz w:val="20"/>
          <w:szCs w:val="20"/>
          <w:lang w:val="cy-GB"/>
        </w:rPr>
        <w:t>Rhoddir cyfle i’r gweithiwr neu ei gynrychiolydd ymateb i’r achos gerbron</w:t>
      </w:r>
      <w:r w:rsidR="00176310" w:rsidRPr="0020513B">
        <w:rPr>
          <w:rFonts w:ascii="Verdana" w:hAnsi="Verdana"/>
          <w:color w:val="auto"/>
          <w:sz w:val="20"/>
          <w:szCs w:val="20"/>
          <w:lang w:val="cy-GB"/>
        </w:rPr>
        <w:t>.</w:t>
      </w:r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 Bydd y gweithiwr neu ei gynrychiolydd yn cael cyfle i holi cwestiynau, cyflwyno tystiolaeth, a galw tystion yn eu tro. Gall aelodau’r panel holi’r gweithiwr a/neu’r tystion fydd yn cael eu galw. Bydd pob tyst yn gadael ar ôl rhoi tystiolaeth, ond gall Cadeirydd y panel ofyn iddo/iddi ddychwelyd.</w:t>
      </w:r>
      <w:r w:rsidR="00176310" w:rsidRPr="0020513B">
        <w:rPr>
          <w:rFonts w:ascii="Verdana" w:hAnsi="Verdana"/>
          <w:color w:val="auto"/>
          <w:sz w:val="20"/>
          <w:szCs w:val="20"/>
          <w:lang w:val="cy-GB"/>
        </w:rPr>
        <w:t xml:space="preserve"> </w:t>
      </w:r>
    </w:p>
    <w:p w14:paraId="2CEFB107" w14:textId="77777777" w:rsidR="00176310" w:rsidRPr="0020513B" w:rsidRDefault="00176310" w:rsidP="00176310">
      <w:pPr>
        <w:pStyle w:val="Default"/>
        <w:rPr>
          <w:rFonts w:ascii="Verdana" w:hAnsi="Verdana"/>
          <w:color w:val="auto"/>
          <w:sz w:val="20"/>
          <w:szCs w:val="20"/>
          <w:lang w:val="cy-GB"/>
        </w:rPr>
      </w:pPr>
    </w:p>
    <w:p w14:paraId="02672680" w14:textId="5B360F8B" w:rsidR="00176310" w:rsidRPr="0020513B" w:rsidRDefault="00976720" w:rsidP="00ED2BFF">
      <w:pPr>
        <w:pStyle w:val="Default"/>
        <w:numPr>
          <w:ilvl w:val="0"/>
          <w:numId w:val="17"/>
        </w:numPr>
        <w:rPr>
          <w:rFonts w:ascii="Verdana" w:hAnsi="Verdana"/>
          <w:b/>
          <w:bCs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b/>
          <w:bCs/>
          <w:color w:val="auto"/>
          <w:sz w:val="20"/>
          <w:szCs w:val="20"/>
          <w:lang w:val="cy-GB"/>
        </w:rPr>
        <w:t>Gohirio</w:t>
      </w:r>
    </w:p>
    <w:p w14:paraId="78F1DCAF" w14:textId="77777777" w:rsidR="00ED2BFF" w:rsidRPr="0020513B" w:rsidRDefault="00ED2BFF" w:rsidP="00ED2BFF">
      <w:pPr>
        <w:pStyle w:val="Default"/>
        <w:ind w:left="360"/>
        <w:rPr>
          <w:rFonts w:ascii="Verdana" w:hAnsi="Verdana"/>
          <w:color w:val="auto"/>
          <w:sz w:val="20"/>
          <w:szCs w:val="20"/>
          <w:lang w:val="cy-GB"/>
        </w:rPr>
      </w:pPr>
    </w:p>
    <w:p w14:paraId="4A3C9E84" w14:textId="1F188931" w:rsidR="00176310" w:rsidRPr="0020513B" w:rsidRDefault="00AA7825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Gall y Cadeirydd ohirio’r achos ar unrhyw adeg os yw’n ymddangos bod angen gwneud hynny neu’n briodol i wneud hynny, neu os bydd un o’r partïon eraill yn gofyn iddo wneud hynny. Gall y Cadeirydd hefyd ofyn am gael gohirio er mwyn derbyn barn gyfreithiol gan Adnoddau Dynol ar unrhyw faterion cyfreithiol a </w:t>
      </w:r>
      <w:proofErr w:type="spellStart"/>
      <w:r w:rsidRPr="0020513B">
        <w:rPr>
          <w:rFonts w:ascii="Verdana" w:hAnsi="Verdana"/>
          <w:color w:val="auto"/>
          <w:sz w:val="20"/>
          <w:szCs w:val="20"/>
          <w:lang w:val="cy-GB"/>
        </w:rPr>
        <w:t>godir</w:t>
      </w:r>
      <w:proofErr w:type="spellEnd"/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 yn ystod y gwrandawiad. Os bydd yn gohirio er mwyn sicrhau rhagor o wybodaeth, bydd y Cadeirydd yn manylu ar natur y wybodaeth y gofynnir amdani. Bydd gohirio yn digwydd am gyfnod penodol fel arfer.</w:t>
      </w:r>
    </w:p>
    <w:p w14:paraId="129A19A1" w14:textId="77777777" w:rsidR="00176310" w:rsidRPr="0020513B" w:rsidRDefault="00176310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</w:p>
    <w:p w14:paraId="3CD600A4" w14:textId="2E248C9D" w:rsidR="00176310" w:rsidRPr="0020513B" w:rsidRDefault="00976720" w:rsidP="00A52F62">
      <w:pPr>
        <w:pStyle w:val="Default"/>
        <w:numPr>
          <w:ilvl w:val="0"/>
          <w:numId w:val="17"/>
        </w:numPr>
        <w:rPr>
          <w:rFonts w:ascii="Verdana" w:hAnsi="Verdana"/>
          <w:b/>
          <w:bCs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b/>
          <w:bCs/>
          <w:color w:val="auto"/>
          <w:sz w:val="20"/>
          <w:szCs w:val="20"/>
          <w:lang w:val="cy-GB"/>
        </w:rPr>
        <w:t>Crynhoi</w:t>
      </w:r>
    </w:p>
    <w:p w14:paraId="6FEF2624" w14:textId="77777777" w:rsidR="00A52F62" w:rsidRPr="0020513B" w:rsidRDefault="00A52F62" w:rsidP="00A52F62">
      <w:pPr>
        <w:pStyle w:val="Default"/>
        <w:ind w:left="360"/>
        <w:rPr>
          <w:rFonts w:ascii="Verdana" w:hAnsi="Verdana"/>
          <w:color w:val="auto"/>
          <w:sz w:val="20"/>
          <w:szCs w:val="20"/>
          <w:lang w:val="cy-GB"/>
        </w:rPr>
      </w:pPr>
    </w:p>
    <w:p w14:paraId="78E37488" w14:textId="16DD2E53" w:rsidR="00176310" w:rsidRPr="0020513B" w:rsidRDefault="00D45258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color w:val="auto"/>
          <w:sz w:val="20"/>
          <w:szCs w:val="20"/>
          <w:lang w:val="cy-GB"/>
        </w:rPr>
        <w:t>Ar ôl cwestiynu a thrafod yn gyffredinol, bydd y Cadeirydd yn gofyn i Gyfarwyddwr yr Athrofa/Pennaeth yr Adran Gwasanaethau Proffesiynol sy’n cyflwyno’r achos a’r gweithiwr neu ei gynrychiolydd roi crynodeb byr o brif bwyntiau eu hachos. Ni fydd tystiolaeth newydd yn cael ei chyflwyno ar yr adeg yma.</w:t>
      </w:r>
    </w:p>
    <w:p w14:paraId="48FA8742" w14:textId="77777777" w:rsidR="00176310" w:rsidRPr="0020513B" w:rsidRDefault="00176310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</w:p>
    <w:p w14:paraId="4E23C093" w14:textId="3FFDBCD0" w:rsidR="00176310" w:rsidRPr="0020513B" w:rsidRDefault="00D45258" w:rsidP="00A52F62">
      <w:pPr>
        <w:pStyle w:val="Default"/>
        <w:numPr>
          <w:ilvl w:val="0"/>
          <w:numId w:val="17"/>
        </w:numPr>
        <w:rPr>
          <w:rFonts w:ascii="Verdana" w:hAnsi="Verdana"/>
          <w:b/>
          <w:bCs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b/>
          <w:bCs/>
          <w:color w:val="auto"/>
          <w:sz w:val="20"/>
          <w:szCs w:val="20"/>
          <w:lang w:val="cy-GB"/>
        </w:rPr>
        <w:t>Gohirio a phenderfynu</w:t>
      </w:r>
    </w:p>
    <w:p w14:paraId="777D4424" w14:textId="77777777" w:rsidR="00A52F62" w:rsidRPr="0020513B" w:rsidRDefault="00A52F62" w:rsidP="00A52F62">
      <w:pPr>
        <w:pStyle w:val="Default"/>
        <w:ind w:left="360"/>
        <w:rPr>
          <w:rFonts w:ascii="Verdana" w:hAnsi="Verdana"/>
          <w:color w:val="auto"/>
          <w:sz w:val="20"/>
          <w:szCs w:val="20"/>
          <w:lang w:val="cy-GB"/>
        </w:rPr>
      </w:pPr>
    </w:p>
    <w:p w14:paraId="4C9F99D3" w14:textId="396B6CDB" w:rsidR="00176310" w:rsidRPr="0020513B" w:rsidRDefault="00130E6C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Bydd y Cadeirydd yn dod </w:t>
      </w:r>
      <w:proofErr w:type="spellStart"/>
      <w:r w:rsidRPr="0020513B">
        <w:rPr>
          <w:rFonts w:ascii="Verdana" w:hAnsi="Verdana"/>
          <w:color w:val="auto"/>
          <w:sz w:val="20"/>
          <w:szCs w:val="20"/>
          <w:lang w:val="cy-GB"/>
        </w:rPr>
        <w:t>â’r</w:t>
      </w:r>
      <w:proofErr w:type="spellEnd"/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 gwrandawiad i ben er mwyn galluogi’r panel i ystyried y dystiolaeth a dod i benderfyniad. Bydd Cyfarwyddwr yr Athrofa/Pennaeth yr Adran </w:t>
      </w:r>
      <w:proofErr w:type="spellStart"/>
      <w:r w:rsidRPr="0020513B">
        <w:rPr>
          <w:rFonts w:ascii="Verdana" w:hAnsi="Verdana"/>
          <w:color w:val="auto"/>
          <w:sz w:val="20"/>
          <w:szCs w:val="20"/>
          <w:lang w:val="cy-GB"/>
        </w:rPr>
        <w:t>Gwasnaethau</w:t>
      </w:r>
      <w:proofErr w:type="spellEnd"/>
      <w:r w:rsidRPr="0020513B">
        <w:rPr>
          <w:rFonts w:ascii="Verdana" w:hAnsi="Verdana"/>
          <w:color w:val="auto"/>
          <w:sz w:val="20"/>
          <w:szCs w:val="20"/>
          <w:lang w:val="cy-GB"/>
        </w:rPr>
        <w:t xml:space="preserve"> Proffesiynol a’r gweithiwr a’i gynrychiolydd yn gadael.</w:t>
      </w:r>
    </w:p>
    <w:p w14:paraId="21DD0600" w14:textId="77777777" w:rsidR="00176310" w:rsidRPr="0020513B" w:rsidRDefault="00176310" w:rsidP="00176310">
      <w:pPr>
        <w:pStyle w:val="Default"/>
        <w:rPr>
          <w:rFonts w:ascii="Verdana" w:hAnsi="Verdana"/>
          <w:color w:val="auto"/>
          <w:sz w:val="20"/>
          <w:szCs w:val="20"/>
          <w:lang w:val="cy-GB"/>
        </w:rPr>
      </w:pPr>
    </w:p>
    <w:p w14:paraId="5815AF4B" w14:textId="5E90B7B1" w:rsidR="005B6F27" w:rsidRPr="0020513B" w:rsidRDefault="00130E6C" w:rsidP="00176310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proofErr w:type="spellStart"/>
      <w:r w:rsidRPr="0020513B">
        <w:rPr>
          <w:rFonts w:ascii="Verdana" w:hAnsi="Verdana"/>
          <w:sz w:val="20"/>
          <w:szCs w:val="20"/>
          <w:lang w:val="cy-GB"/>
        </w:rPr>
        <w:t>Dyma’r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 xml:space="preserve"> dewisiadau sydd ar gael i’r panel wrth ddod i benderfyniad:-</w:t>
      </w:r>
    </w:p>
    <w:p w14:paraId="52F2B360" w14:textId="044DB35E" w:rsidR="005B6F27" w:rsidRPr="0020513B" w:rsidRDefault="00130E6C" w:rsidP="005B6F2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Cadarnhau llwyddiant y cyfnod prawf</w:t>
      </w:r>
      <w:r w:rsidR="00A5642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;</w:t>
      </w:r>
    </w:p>
    <w:p w14:paraId="43D84FA1" w14:textId="29B34C19" w:rsidR="005B6F27" w:rsidRPr="0020513B" w:rsidRDefault="00130E6C" w:rsidP="005B6F2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Ymestyn y cyfnod prawf a darparu hyfforddiant ac arweiniad pellach i’r gweithiwr ar brawf</w:t>
      </w:r>
      <w:r w:rsidR="00A5642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;</w:t>
      </w:r>
      <w:r w:rsidR="005B6F27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 xml:space="preserve"> </w:t>
      </w:r>
    </w:p>
    <w:p w14:paraId="5C73A097" w14:textId="3C6B4438" w:rsidR="005B6F27" w:rsidRPr="0020513B" w:rsidRDefault="00130E6C" w:rsidP="005B6F27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Diswyddo’r gweithiwr gan roi rhybudd iddo neu dâl yn lle rhybudd.</w:t>
      </w:r>
    </w:p>
    <w:p w14:paraId="12DACDBE" w14:textId="6B4C03EB" w:rsidR="00176310" w:rsidRPr="0020513B" w:rsidRDefault="000204CB" w:rsidP="005B6F27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D.S</w:t>
      </w:r>
      <w:r w:rsidR="005B6F27" w:rsidRPr="0020513B">
        <w:rPr>
          <w:rFonts w:ascii="Verdana" w:hAnsi="Verdana"/>
          <w:sz w:val="20"/>
          <w:szCs w:val="20"/>
          <w:lang w:val="cy-GB"/>
        </w:rPr>
        <w:t xml:space="preserve">. </w:t>
      </w:r>
      <w:r w:rsidR="000B41B9" w:rsidRPr="0020513B">
        <w:rPr>
          <w:rFonts w:ascii="Verdana" w:hAnsi="Verdana"/>
          <w:sz w:val="20"/>
          <w:szCs w:val="20"/>
          <w:lang w:val="cy-GB"/>
        </w:rPr>
        <w:t xml:space="preserve">Dim ond os oes tystiolaeth i argyhoeddi’r panel fod rhagor o amser yn debygol o arwain at y gwelliant sy’n ofynnol o ran perfformiad y </w:t>
      </w:r>
      <w:proofErr w:type="spellStart"/>
      <w:r w:rsidR="000B41B9" w:rsidRPr="0020513B">
        <w:rPr>
          <w:rFonts w:ascii="Verdana" w:hAnsi="Verdana"/>
          <w:sz w:val="20"/>
          <w:szCs w:val="20"/>
          <w:lang w:val="cy-GB"/>
        </w:rPr>
        <w:t>gellir</w:t>
      </w:r>
      <w:proofErr w:type="spellEnd"/>
      <w:r w:rsidR="000B41B9" w:rsidRPr="0020513B">
        <w:rPr>
          <w:rFonts w:ascii="Verdana" w:hAnsi="Verdana"/>
          <w:sz w:val="20"/>
          <w:szCs w:val="20"/>
          <w:lang w:val="cy-GB"/>
        </w:rPr>
        <w:t xml:space="preserve"> ystyried rhagor o amser i wella. Os yw’r panel yn cadarnhau’r penderfyniad fod y cyfnod prawf i’w ymestyn, bydd yr hysbysiad yn cynnwys datganiad o dargedau a deilliannau i’w cyflawni gan y gweithiwr ar brawf yn ystod y cyfnod prawf estynedig a bydd yn cael ei anfon at y gweithiwr ar brawf ymhen 10 diwrnod gwaith pellach. Ar ddiwedd y cyfnod prawf estynedig, bydd y penodiad yn parhau heb ei gadarnhau tra mae’r adroddiadau yn cael eu hystyried. Gweler Adran 5.8 a 5.9 ar gyfer y drefn. Ni ellir ymestyn y cyfnod prawf ymhellach ar hyn o bryd.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6F139AC8" w14:textId="5D21C773" w:rsidR="00176310" w:rsidRPr="0020513B" w:rsidRDefault="00130E6C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Bydd y panel yn cadarnhau ei benderfyniad a’r rhesymau </w:t>
      </w:r>
      <w:r w:rsidR="000B41B9" w:rsidRPr="0020513B">
        <w:rPr>
          <w:rFonts w:ascii="Verdana" w:hAnsi="Verdana"/>
          <w:sz w:val="20"/>
          <w:szCs w:val="20"/>
          <w:lang w:val="cy-GB"/>
        </w:rPr>
        <w:t>drosto trwy ysgrifennu at y</w:t>
      </w:r>
      <w:r w:rsidRPr="0020513B">
        <w:rPr>
          <w:rFonts w:ascii="Verdana" w:hAnsi="Verdana"/>
          <w:sz w:val="20"/>
          <w:szCs w:val="20"/>
          <w:lang w:val="cy-GB"/>
        </w:rPr>
        <w:t xml:space="preserve"> gweithiwr o fewn 5 diwrnod gwaith. Bydd cadarnhad ysgrifenedig yn cael ei anfon trwy gytundeb </w:t>
      </w:r>
      <w:proofErr w:type="spellStart"/>
      <w:r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 xml:space="preserve"> gweithiwr wyneb-yn-wyneb, </w:t>
      </w:r>
      <w:proofErr w:type="spellStart"/>
      <w:r w:rsidRPr="0020513B">
        <w:rPr>
          <w:rFonts w:ascii="Verdana" w:hAnsi="Verdana"/>
          <w:sz w:val="20"/>
          <w:szCs w:val="20"/>
          <w:lang w:val="cy-GB"/>
        </w:rPr>
        <w:t>trwy’r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 xml:space="preserve"> post, post mewnol neu drwy e-bost gyda chais i anfon derbynneb i gadarnhau bod y neges wedi ei darllen.</w:t>
      </w:r>
    </w:p>
    <w:p w14:paraId="5E25E3AA" w14:textId="77777777" w:rsidR="00176310" w:rsidRPr="0020513B" w:rsidRDefault="00176310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</w:p>
    <w:p w14:paraId="57E70B9B" w14:textId="77777777" w:rsidR="00130E6C" w:rsidRPr="0020513B" w:rsidRDefault="00130E6C" w:rsidP="005B6F27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gan y gweithiwr hawl i apelio yn erbyn diswyddiad neu estyniad i’r cyfnod prawf.</w:t>
      </w:r>
    </w:p>
    <w:p w14:paraId="22B45C0D" w14:textId="77777777" w:rsidR="00130E6C" w:rsidRPr="0020513B" w:rsidRDefault="00130E6C" w:rsidP="005B6F27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</w:p>
    <w:p w14:paraId="2A02C423" w14:textId="77777777" w:rsidR="00130E6C" w:rsidRPr="0020513B" w:rsidRDefault="00130E6C">
      <w:pPr>
        <w:rPr>
          <w:rFonts w:ascii="Verdana" w:hAnsi="Verdana" w:cs="Times New Roman"/>
          <w:color w:val="000000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br w:type="page"/>
      </w:r>
    </w:p>
    <w:p w14:paraId="61630878" w14:textId="7C3C2274" w:rsidR="00176310" w:rsidRPr="0020513B" w:rsidRDefault="00176310" w:rsidP="005B6F27">
      <w:pPr>
        <w:pStyle w:val="Default"/>
        <w:jc w:val="both"/>
        <w:rPr>
          <w:b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2F48DCE7" w14:textId="417F70B5" w:rsidR="00176310" w:rsidRPr="0020513B" w:rsidRDefault="00A34702" w:rsidP="00176310">
      <w:pPr>
        <w:jc w:val="both"/>
        <w:rPr>
          <w:rFonts w:ascii="Verdana" w:hAnsi="Verdana"/>
          <w:b/>
          <w:sz w:val="20"/>
          <w:szCs w:val="20"/>
          <w:lang w:val="cy-GB"/>
        </w:rPr>
      </w:pPr>
      <w:r w:rsidRPr="0020513B">
        <w:rPr>
          <w:rFonts w:ascii="Verdana" w:hAnsi="Verdana"/>
          <w:b/>
          <w:sz w:val="20"/>
          <w:szCs w:val="20"/>
          <w:lang w:val="cy-GB"/>
        </w:rPr>
        <w:t>Atodiad</w:t>
      </w:r>
      <w:r w:rsidR="00176310" w:rsidRPr="0020513B">
        <w:rPr>
          <w:rFonts w:ascii="Verdana" w:hAnsi="Verdana"/>
          <w:b/>
          <w:sz w:val="20"/>
          <w:szCs w:val="20"/>
          <w:lang w:val="cy-GB"/>
        </w:rPr>
        <w:t xml:space="preserve"> 2</w:t>
      </w:r>
    </w:p>
    <w:p w14:paraId="0233B30F" w14:textId="25C2DEFB" w:rsidR="0028347A" w:rsidRPr="0020513B" w:rsidRDefault="00EE6106" w:rsidP="00176310">
      <w:pPr>
        <w:jc w:val="both"/>
        <w:rPr>
          <w:rFonts w:ascii="Verdana" w:hAnsi="Verdana"/>
          <w:b/>
          <w:sz w:val="20"/>
          <w:szCs w:val="20"/>
          <w:lang w:val="cy-GB"/>
        </w:rPr>
      </w:pPr>
      <w:r w:rsidRPr="0020513B">
        <w:rPr>
          <w:rFonts w:ascii="Verdana" w:hAnsi="Verdana"/>
          <w:b/>
          <w:sz w:val="20"/>
          <w:szCs w:val="20"/>
          <w:lang w:val="cy-GB"/>
        </w:rPr>
        <w:t>Apelio yn erbyn diswyddo neu ymestyn y cyfnod prawf</w:t>
      </w:r>
    </w:p>
    <w:p w14:paraId="194F66AF" w14:textId="7B1035DE" w:rsidR="00176310" w:rsidRPr="0020513B" w:rsidRDefault="00A34702" w:rsidP="00176310">
      <w:pPr>
        <w:jc w:val="both"/>
        <w:rPr>
          <w:rFonts w:ascii="Verdana" w:hAnsi="Verdana"/>
          <w:b/>
          <w:sz w:val="20"/>
          <w:szCs w:val="20"/>
          <w:lang w:val="cy-GB"/>
        </w:rPr>
      </w:pPr>
      <w:r w:rsidRPr="0020513B">
        <w:rPr>
          <w:rFonts w:ascii="Verdana" w:hAnsi="Verdana"/>
          <w:b/>
          <w:sz w:val="20"/>
          <w:szCs w:val="20"/>
          <w:lang w:val="cy-GB"/>
        </w:rPr>
        <w:t>Gweithdrefn ar gyfer gwrando apeliadau</w:t>
      </w:r>
    </w:p>
    <w:p w14:paraId="1622F61C" w14:textId="4FC2A58B" w:rsidR="00176310" w:rsidRPr="0020513B" w:rsidRDefault="00EE6106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y trefniadau canlynol yn berthnasol:</w:t>
      </w:r>
    </w:p>
    <w:p w14:paraId="11812443" w14:textId="6786189D" w:rsidR="00555858" w:rsidRPr="0020513B" w:rsidRDefault="0002516D" w:rsidP="00555858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1. </w:t>
      </w:r>
      <w:r w:rsidR="00EE6106" w:rsidRPr="0020513B">
        <w:rPr>
          <w:rFonts w:ascii="Verdana" w:hAnsi="Verdana"/>
          <w:sz w:val="20"/>
          <w:szCs w:val="20"/>
          <w:lang w:val="cy-GB"/>
        </w:rPr>
        <w:t>Apelio yn erbyn ymestyn y cyfnod prawf</w:t>
      </w:r>
    </w:p>
    <w:p w14:paraId="380C8EEF" w14:textId="418C4DDE" w:rsidR="0002516D" w:rsidRPr="0020513B" w:rsidRDefault="00F1045F" w:rsidP="0002516D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apeliadau yn erbyn ymestyn y cyfnod prawf yn cael eu clywed gan y Dirprwy Is-Ganghellor/Prif Swyddog Gweithredu neu ddirprwy o blith y Dirprwy Is-Gangellorion a fydd yn cadeirio’r panel a Chyfarwyddwr Athrofa neu Bennaeth Adran Gwasanaethau Proffesiynol yn achos staff gwasanaethau proffesiynol</w:t>
      </w:r>
      <w:r w:rsidR="0002516D" w:rsidRPr="0020513B">
        <w:rPr>
          <w:rFonts w:ascii="Verdana" w:hAnsi="Verdana"/>
          <w:sz w:val="20"/>
          <w:szCs w:val="20"/>
          <w:lang w:val="cy-GB"/>
        </w:rPr>
        <w:t>.</w:t>
      </w:r>
      <w:r w:rsidRPr="0020513B">
        <w:rPr>
          <w:rFonts w:ascii="Verdana" w:hAnsi="Verdana"/>
          <w:sz w:val="20"/>
          <w:szCs w:val="20"/>
          <w:lang w:val="cy-GB"/>
        </w:rPr>
        <w:t xml:space="preserve"> Bydd Rheolwr Adnoddau Dynol yn bresennol yn y gwrandawiad ar gyfer rhoi cyngor yn unig.</w:t>
      </w:r>
      <w:r w:rsidR="0002516D"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094A3861" w14:textId="135A595A" w:rsidR="0002516D" w:rsidRPr="0020513B" w:rsidRDefault="0002516D" w:rsidP="00555858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2. </w:t>
      </w:r>
      <w:r w:rsidR="00EE6106" w:rsidRPr="0020513B">
        <w:rPr>
          <w:rFonts w:ascii="Verdana" w:hAnsi="Verdana"/>
          <w:sz w:val="20"/>
          <w:szCs w:val="20"/>
          <w:lang w:val="cy-GB"/>
        </w:rPr>
        <w:t>Apelio yn erbyn diswyddo</w:t>
      </w:r>
    </w:p>
    <w:p w14:paraId="14C5DBF5" w14:textId="33EEE0C5" w:rsidR="00555858" w:rsidRPr="0020513B" w:rsidRDefault="00EE6106" w:rsidP="00555858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apeliadau yn erbyn diswyddo yn cael eu clywed gan dri pherson o banel a benodir gan y Cyfarwyddwr Adnoddau Dynol ar y cyd ag Ysgrifennydd y Brifysgol o’r rhestr isod:-</w:t>
      </w:r>
    </w:p>
    <w:p w14:paraId="0593FF67" w14:textId="600F236D" w:rsidR="00555858" w:rsidRPr="0020513B" w:rsidRDefault="0002516D" w:rsidP="00555858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i)</w:t>
      </w:r>
      <w:r w:rsidR="00EE6106" w:rsidRPr="0020513B">
        <w:rPr>
          <w:rFonts w:ascii="Verdana" w:hAnsi="Verdana"/>
          <w:sz w:val="20"/>
          <w:szCs w:val="20"/>
          <w:lang w:val="cy-GB"/>
        </w:rPr>
        <w:t>. Dirprwy Is-Ganghellor</w:t>
      </w:r>
      <w:r w:rsidR="00555858"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19B9CB24" w14:textId="52349183" w:rsidR="00555858" w:rsidRPr="0020513B" w:rsidRDefault="0002516D" w:rsidP="00555858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proofErr w:type="spellStart"/>
      <w:r w:rsidRPr="0020513B">
        <w:rPr>
          <w:rFonts w:ascii="Verdana" w:hAnsi="Verdana"/>
          <w:sz w:val="20"/>
          <w:szCs w:val="20"/>
          <w:lang w:val="cy-GB"/>
        </w:rPr>
        <w:t>ii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>)</w:t>
      </w:r>
      <w:r w:rsidR="00EE6106" w:rsidRPr="0020513B">
        <w:rPr>
          <w:rFonts w:ascii="Verdana" w:hAnsi="Verdana"/>
          <w:sz w:val="20"/>
          <w:szCs w:val="20"/>
          <w:lang w:val="cy-GB"/>
        </w:rPr>
        <w:t>. Cyfarwyddwr Athrofa neu Bennaeth Adran Gwasanaethau Proffesiynol</w:t>
      </w:r>
      <w:r w:rsidR="00555858"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07B2EAD0" w14:textId="3AAACDAF" w:rsidR="00555858" w:rsidRPr="0020513B" w:rsidRDefault="00EE6106" w:rsidP="00555858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proofErr w:type="spellStart"/>
      <w:r w:rsidRPr="0020513B">
        <w:rPr>
          <w:rFonts w:ascii="Verdana" w:hAnsi="Verdana"/>
          <w:sz w:val="20"/>
          <w:szCs w:val="20"/>
          <w:lang w:val="cy-GB"/>
        </w:rPr>
        <w:t>iii</w:t>
      </w:r>
      <w:proofErr w:type="spellEnd"/>
      <w:r w:rsidRPr="0020513B">
        <w:rPr>
          <w:rFonts w:ascii="Verdana" w:hAnsi="Verdana"/>
          <w:sz w:val="20"/>
          <w:szCs w:val="20"/>
          <w:lang w:val="cy-GB"/>
        </w:rPr>
        <w:t>). Aelod Lleyg o’r Cyngor</w:t>
      </w:r>
      <w:r w:rsidR="00555858" w:rsidRPr="0020513B">
        <w:rPr>
          <w:rFonts w:ascii="Verdana" w:hAnsi="Verdana"/>
          <w:sz w:val="20"/>
          <w:szCs w:val="20"/>
          <w:lang w:val="cy-GB"/>
        </w:rPr>
        <w:t xml:space="preserve"> </w:t>
      </w:r>
    </w:p>
    <w:p w14:paraId="4F9F9252" w14:textId="77777777" w:rsidR="00176310" w:rsidRPr="0020513B" w:rsidRDefault="00176310" w:rsidP="00176310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</w:p>
    <w:p w14:paraId="37BD338C" w14:textId="626C267A" w:rsidR="00176310" w:rsidRPr="0020513B" w:rsidRDefault="00EE6106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Bydd y Cyfarwyddwr Adnoddau Dynol, neu ddirprwy, yn bresennol yn y gwrandawiad ar gyfer rhoi cyngor.</w:t>
      </w:r>
    </w:p>
    <w:p w14:paraId="070875A2" w14:textId="49E0032C" w:rsidR="0002516D" w:rsidRPr="0020513B" w:rsidRDefault="0002516D" w:rsidP="0002516D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3. </w:t>
      </w:r>
      <w:r w:rsidR="00B37F95" w:rsidRPr="0020513B">
        <w:rPr>
          <w:rFonts w:ascii="Verdana" w:hAnsi="Verdana"/>
          <w:sz w:val="20"/>
          <w:szCs w:val="20"/>
          <w:lang w:val="cy-GB"/>
        </w:rPr>
        <w:t xml:space="preserve">Ni fydd aelodau’r panel yn perthyn i’r un adran </w:t>
      </w:r>
      <w:proofErr w:type="spellStart"/>
      <w:r w:rsidR="00B37F95"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="00B37F95" w:rsidRPr="0020513B">
        <w:rPr>
          <w:rFonts w:ascii="Verdana" w:hAnsi="Verdana"/>
          <w:sz w:val="20"/>
          <w:szCs w:val="20"/>
          <w:lang w:val="cy-GB"/>
        </w:rPr>
        <w:t xml:space="preserve"> apelydd nac wedi ymwneud </w:t>
      </w:r>
      <w:proofErr w:type="spellStart"/>
      <w:r w:rsidR="00B37F95"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="00B37F95" w:rsidRPr="0020513B">
        <w:rPr>
          <w:rFonts w:ascii="Verdana" w:hAnsi="Verdana"/>
          <w:sz w:val="20"/>
          <w:szCs w:val="20"/>
          <w:lang w:val="cy-GB"/>
        </w:rPr>
        <w:t xml:space="preserve"> achos cyn hyn nac ag unrhyw achos arall y bu’r apelydd yn ymwneud ag ef</w:t>
      </w:r>
      <w:r w:rsidRPr="0020513B">
        <w:rPr>
          <w:rFonts w:ascii="Verdana" w:hAnsi="Verdana"/>
          <w:sz w:val="20"/>
          <w:szCs w:val="20"/>
          <w:lang w:val="cy-GB"/>
        </w:rPr>
        <w:t>.</w:t>
      </w:r>
    </w:p>
    <w:p w14:paraId="7BE6EAA5" w14:textId="1127EE1C" w:rsidR="00176310" w:rsidRPr="0020513B" w:rsidRDefault="0002516D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4. </w:t>
      </w:r>
      <w:r w:rsidR="00B37F95" w:rsidRPr="0020513B">
        <w:rPr>
          <w:rFonts w:ascii="Verdana" w:hAnsi="Verdana"/>
          <w:sz w:val="20"/>
          <w:szCs w:val="20"/>
          <w:lang w:val="cy-GB"/>
        </w:rPr>
        <w:t>Fel arfer bydd y gwrandawiad apêl yn cael ei drefnu o fewn 7 diwrnod gwaith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  <w:r w:rsidR="00B37F95" w:rsidRPr="0020513B">
        <w:rPr>
          <w:rFonts w:ascii="Verdana" w:hAnsi="Verdana"/>
          <w:sz w:val="20"/>
          <w:szCs w:val="20"/>
          <w:lang w:val="cy-GB"/>
        </w:rPr>
        <w:t xml:space="preserve"> Bydd Adnoddau Dynol yn gyfrifol am wneud y trefniadau ar gyfer gwrando’r apêl a bydd cynrychiolydd Adnoddau Dynol yn bresennol yn y gwrandawiad i roi cyngor ar weithdrefnau a darparu cymorth gweinyddol. Ni fydd y cynrychiolydd Adnoddau Dynol wedi bod yn ymwneud </w:t>
      </w:r>
      <w:proofErr w:type="spellStart"/>
      <w:r w:rsidR="00B37F95"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="00B37F95" w:rsidRPr="0020513B">
        <w:rPr>
          <w:rFonts w:ascii="Verdana" w:hAnsi="Verdana"/>
          <w:sz w:val="20"/>
          <w:szCs w:val="20"/>
          <w:lang w:val="cy-GB"/>
        </w:rPr>
        <w:t xml:space="preserve"> gwrandawiad blaenorol.</w:t>
      </w:r>
    </w:p>
    <w:p w14:paraId="64C4A7C3" w14:textId="5ACD31CC" w:rsidR="00176310" w:rsidRPr="0020513B" w:rsidRDefault="0002516D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5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. </w:t>
      </w:r>
      <w:r w:rsidR="00B37F95" w:rsidRPr="0020513B">
        <w:rPr>
          <w:rFonts w:ascii="Verdana" w:hAnsi="Verdana"/>
          <w:sz w:val="20"/>
          <w:szCs w:val="20"/>
          <w:lang w:val="cy-GB"/>
        </w:rPr>
        <w:t>Os bydd, am resymau da, y gweithiwr neu Gadeirydd y gwrandawiad gwreiddiol yn methu dod i’r gwrandawiad apêl, bydd yn cael ei aildrefnu ar ddyddiad arall o fewn 10 diwrnod gwaith fel arfer, neu ddyddiad arall y cytunir arno, i’r gwrandawiad apêl gwreiddiol y bydd ef/hi a’i g/chynrychiolydd (os oes un) yn cael ei hysbysu amdano yn ddi-oed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</w:p>
    <w:p w14:paraId="6764CC5D" w14:textId="45072453" w:rsidR="00176310" w:rsidRPr="0020513B" w:rsidRDefault="0002516D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6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. </w:t>
      </w:r>
      <w:r w:rsidR="00B37F95" w:rsidRPr="0020513B">
        <w:rPr>
          <w:rFonts w:ascii="Verdana" w:hAnsi="Verdana"/>
          <w:sz w:val="20"/>
          <w:szCs w:val="20"/>
          <w:lang w:val="cy-GB"/>
        </w:rPr>
        <w:t>Anfonir gwahoddiad ysgrifenedig i’r gweithiwr ddod i’r cyfarfod apêl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  <w:r w:rsidR="00B37F95" w:rsidRPr="0020513B">
        <w:rPr>
          <w:rFonts w:ascii="Verdana" w:hAnsi="Verdana"/>
          <w:sz w:val="20"/>
          <w:szCs w:val="20"/>
          <w:lang w:val="cy-GB"/>
        </w:rPr>
        <w:t xml:space="preserve"> Bydd y llythyr yn cynnwys natur y rhesymau dros apelio fydd yn cael eu hystyried, dogfennau sy’n berthnasol i’r mater ac amlinelliad o hawliau’r unigolyn o dan y weithdrefn – yn cynnwys yr hawl i ddod â chynrychiolydd undeb llafur cydnabyddedig neu gydweithiwr gydag ef/hi. Fel arfer bydd y gweithiwr yn derbyn rhybudd 5 diwrnod gwaith cyn gwrandawiad yr apêl a ddylai ganiatáu digon o amser i drefnu cynrychiolaeth yn y gwrandawiad ac i ymgynghori </w:t>
      </w:r>
      <w:proofErr w:type="spellStart"/>
      <w:r w:rsidR="00B37F95" w:rsidRPr="0020513B">
        <w:rPr>
          <w:rFonts w:ascii="Verdana" w:hAnsi="Verdana"/>
          <w:sz w:val="20"/>
          <w:szCs w:val="20"/>
          <w:lang w:val="cy-GB"/>
        </w:rPr>
        <w:t>â’r</w:t>
      </w:r>
      <w:proofErr w:type="spellEnd"/>
      <w:r w:rsidR="00B37F95" w:rsidRPr="0020513B">
        <w:rPr>
          <w:rFonts w:ascii="Verdana" w:hAnsi="Verdana"/>
          <w:sz w:val="20"/>
          <w:szCs w:val="20"/>
          <w:lang w:val="cy-GB"/>
        </w:rPr>
        <w:t xml:space="preserve"> person hwnnw cyn gwrandawiad yr apêl.</w:t>
      </w:r>
    </w:p>
    <w:p w14:paraId="2100F48A" w14:textId="1545C042" w:rsidR="00176310" w:rsidRPr="0020513B" w:rsidRDefault="0002516D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7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. </w:t>
      </w:r>
      <w:r w:rsidR="00A5440B" w:rsidRPr="0020513B">
        <w:rPr>
          <w:rFonts w:ascii="Verdana" w:hAnsi="Verdana"/>
          <w:sz w:val="20"/>
          <w:szCs w:val="20"/>
          <w:lang w:val="cy-GB"/>
        </w:rPr>
        <w:t>Lle nad oes anghytundeb ynghylch y ffeithiau y seiliwyd y penderfyniad gwreiddiol arnynt, bydd y panel apêl yn seilio eu hystyriaethau ar y dystiolaeth a gyflwynir yn y gwrandawiad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  <w:r w:rsidR="00A5440B" w:rsidRPr="0020513B">
        <w:rPr>
          <w:rFonts w:ascii="Verdana" w:hAnsi="Verdana"/>
          <w:sz w:val="20"/>
          <w:szCs w:val="20"/>
          <w:lang w:val="cy-GB"/>
        </w:rPr>
        <w:t xml:space="preserve"> Yr unig ddeunydd ychwanegol y </w:t>
      </w:r>
      <w:proofErr w:type="spellStart"/>
      <w:r w:rsidR="00A5440B" w:rsidRPr="0020513B">
        <w:rPr>
          <w:rFonts w:ascii="Verdana" w:hAnsi="Verdana"/>
          <w:sz w:val="20"/>
          <w:szCs w:val="20"/>
          <w:lang w:val="cy-GB"/>
        </w:rPr>
        <w:t>gellir</w:t>
      </w:r>
      <w:proofErr w:type="spellEnd"/>
      <w:r w:rsidR="00A5440B" w:rsidRPr="0020513B">
        <w:rPr>
          <w:rFonts w:ascii="Verdana" w:hAnsi="Verdana"/>
          <w:sz w:val="20"/>
          <w:szCs w:val="20"/>
          <w:lang w:val="cy-GB"/>
        </w:rPr>
        <w:t xml:space="preserve"> ei gyflwyno yw tystiolaeth newydd a ddaeth i’r amlwg wedi hynny a, phe bai’n wybyddus adeg y gwrandawiad, </w:t>
      </w:r>
      <w:proofErr w:type="spellStart"/>
      <w:r w:rsidR="00A5440B" w:rsidRPr="0020513B">
        <w:rPr>
          <w:rFonts w:ascii="Verdana" w:hAnsi="Verdana"/>
          <w:sz w:val="20"/>
          <w:szCs w:val="20"/>
          <w:lang w:val="cy-GB"/>
        </w:rPr>
        <w:t>allai</w:t>
      </w:r>
      <w:proofErr w:type="spellEnd"/>
      <w:r w:rsidR="00A5440B" w:rsidRPr="0020513B">
        <w:rPr>
          <w:rFonts w:ascii="Verdana" w:hAnsi="Verdana"/>
          <w:sz w:val="20"/>
          <w:szCs w:val="20"/>
          <w:lang w:val="cy-GB"/>
        </w:rPr>
        <w:t xml:space="preserve"> fod wedi effeithio ar y penderfyniad. Dim ond os cyflwynir </w:t>
      </w:r>
      <w:proofErr w:type="spellStart"/>
      <w:r w:rsidR="00A5440B" w:rsidRPr="0020513B">
        <w:rPr>
          <w:rFonts w:ascii="Verdana" w:hAnsi="Verdana"/>
          <w:sz w:val="20"/>
          <w:szCs w:val="20"/>
          <w:lang w:val="cy-GB"/>
        </w:rPr>
        <w:t>tystioleth</w:t>
      </w:r>
      <w:proofErr w:type="spellEnd"/>
      <w:r w:rsidR="00A5440B" w:rsidRPr="0020513B">
        <w:rPr>
          <w:rFonts w:ascii="Verdana" w:hAnsi="Verdana"/>
          <w:sz w:val="20"/>
          <w:szCs w:val="20"/>
          <w:lang w:val="cy-GB"/>
        </w:rPr>
        <w:t xml:space="preserve"> nad oedd modd cyflwyno’r wybodaeth ychwanegol yma adeg y gwrandawiad y bydd Cadeirydd y panel apêl yn cytuno i ystyried gwybodaeth ychwanegol. Gall y gweithiwr neu ei g/chynrychiolydd ddarparu’r deunydd ychwanegol hwn.</w:t>
      </w:r>
    </w:p>
    <w:p w14:paraId="3CB20310" w14:textId="6F69341F" w:rsidR="00176310" w:rsidRPr="0020513B" w:rsidRDefault="00A52F62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6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. </w:t>
      </w:r>
      <w:r w:rsidR="00F16A0C" w:rsidRPr="0020513B">
        <w:rPr>
          <w:rFonts w:ascii="Verdana" w:hAnsi="Verdana"/>
          <w:sz w:val="20"/>
          <w:szCs w:val="20"/>
          <w:lang w:val="cy-GB"/>
        </w:rPr>
        <w:t>Yn ystod y gwrandawiad apêl, rhoddir cyfle i’r gweithiwr amlinellu ei resymau dros apelio yn llawn a chyflwyno tystiolaeth. Gwahoddir Cadeirydd y gwrandawiad prawf (neu ei ddirprwy) i gyflwyno’r rhesymeg dros y penderfyniad i ymestyn y cyfnod prawf neu ddiswyddo’r gweithiwr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</w:p>
    <w:p w14:paraId="142C47BE" w14:textId="63E53367" w:rsidR="00176310" w:rsidRPr="0020513B" w:rsidRDefault="00A52F62" w:rsidP="00176310">
      <w:pPr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7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. </w:t>
      </w:r>
      <w:r w:rsidR="00F74BC7" w:rsidRPr="0020513B">
        <w:rPr>
          <w:rFonts w:ascii="Verdana" w:hAnsi="Verdana"/>
          <w:sz w:val="20"/>
          <w:szCs w:val="20"/>
          <w:lang w:val="cy-GB"/>
        </w:rPr>
        <w:t>Ar ôl i’r ddau achos gael eu cyflwyno, bydd Cadeirydd y gwrandawiad apêl yn gohirio’r cyfarfod i ganiatáu i’r panel ddod i benderfyniad</w:t>
      </w:r>
      <w:r w:rsidR="00176310" w:rsidRPr="0020513B">
        <w:rPr>
          <w:rFonts w:ascii="Verdana" w:hAnsi="Verdana"/>
          <w:sz w:val="20"/>
          <w:szCs w:val="20"/>
          <w:lang w:val="cy-GB"/>
        </w:rPr>
        <w:t>.</w:t>
      </w:r>
    </w:p>
    <w:p w14:paraId="18734A0F" w14:textId="2B8C2BAB" w:rsidR="00E6283C" w:rsidRPr="0020513B" w:rsidRDefault="00E6283C" w:rsidP="00E6283C">
      <w:pPr>
        <w:pStyle w:val="Default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 xml:space="preserve">8. </w:t>
      </w:r>
      <w:proofErr w:type="spellStart"/>
      <w:r w:rsidR="00F74BC7" w:rsidRPr="0020513B">
        <w:rPr>
          <w:rFonts w:ascii="Verdana" w:hAnsi="Verdana"/>
          <w:sz w:val="20"/>
          <w:szCs w:val="20"/>
          <w:lang w:val="cy-GB"/>
        </w:rPr>
        <w:t>Dyma’r</w:t>
      </w:r>
      <w:proofErr w:type="spellEnd"/>
      <w:r w:rsidR="00F74BC7" w:rsidRPr="0020513B">
        <w:rPr>
          <w:rFonts w:ascii="Verdana" w:hAnsi="Verdana"/>
          <w:sz w:val="20"/>
          <w:szCs w:val="20"/>
          <w:lang w:val="cy-GB"/>
        </w:rPr>
        <w:t xml:space="preserve"> dewisiadau sydd ar gael i’r panel wrth ddod i benderfyniad</w:t>
      </w:r>
      <w:r w:rsidRPr="0020513B">
        <w:rPr>
          <w:rFonts w:ascii="Verdana" w:hAnsi="Verdana"/>
          <w:sz w:val="20"/>
          <w:szCs w:val="20"/>
          <w:lang w:val="cy-GB"/>
        </w:rPr>
        <w:t>:-</w:t>
      </w:r>
    </w:p>
    <w:p w14:paraId="19ECDB99" w14:textId="289E5CAE" w:rsidR="00E6283C" w:rsidRPr="0020513B" w:rsidRDefault="00F74BC7" w:rsidP="00E6283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Cadarnhau’r apêl</w:t>
      </w:r>
      <w:r w:rsidR="004B360A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;</w:t>
      </w:r>
    </w:p>
    <w:p w14:paraId="02232EEE" w14:textId="2B10A95D" w:rsidR="004B360A" w:rsidRPr="0020513B" w:rsidRDefault="00F74BC7" w:rsidP="00E6283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Cadarnhau’r apêl yn rhannol</w:t>
      </w:r>
      <w:r w:rsidR="004B360A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;</w:t>
      </w:r>
    </w:p>
    <w:p w14:paraId="2EB12E43" w14:textId="35A90FBE" w:rsidR="00E6283C" w:rsidRPr="0020513B" w:rsidRDefault="00F74BC7" w:rsidP="00E6283C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0"/>
          <w:szCs w:val="20"/>
          <w:lang w:val="cy-GB" w:eastAsia="en-GB"/>
        </w:rPr>
      </w:pPr>
      <w:r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Gwrthod yr apêl</w:t>
      </w:r>
      <w:r w:rsidR="004B360A" w:rsidRPr="0020513B">
        <w:rPr>
          <w:rFonts w:ascii="Verdana" w:eastAsia="Times New Roman" w:hAnsi="Verdana" w:cs="Times New Roman"/>
          <w:sz w:val="20"/>
          <w:szCs w:val="20"/>
          <w:lang w:val="cy-GB" w:eastAsia="en-GB"/>
        </w:rPr>
        <w:t>.</w:t>
      </w:r>
    </w:p>
    <w:p w14:paraId="455329F4" w14:textId="4507B353" w:rsidR="00E6283C" w:rsidRPr="0020513B" w:rsidRDefault="00921A32" w:rsidP="004B360A">
      <w:pPr>
        <w:spacing w:before="100" w:beforeAutospacing="1" w:after="100" w:afterAutospacing="1" w:line="240" w:lineRule="auto"/>
        <w:jc w:val="both"/>
        <w:rPr>
          <w:rFonts w:ascii="Verdana" w:hAnsi="Verdana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D.S. Wrth gadarnhau’r apêl yn llawn neu yn rhannol, dylai’r panel apêl hefyd ystyried a ddylid rhoi cosb lai, e.e. newid diswyddiad yn estyniad i gyfnod prawf.</w:t>
      </w:r>
    </w:p>
    <w:p w14:paraId="01C91014" w14:textId="7101F40D" w:rsidR="00176310" w:rsidRPr="0020513B" w:rsidRDefault="00A52F62" w:rsidP="00176310">
      <w:pPr>
        <w:pStyle w:val="Default"/>
        <w:jc w:val="both"/>
        <w:rPr>
          <w:rFonts w:ascii="Verdana" w:hAnsi="Verdana"/>
          <w:color w:val="auto"/>
          <w:sz w:val="20"/>
          <w:szCs w:val="20"/>
          <w:lang w:val="cy-GB"/>
        </w:rPr>
      </w:pPr>
      <w:r w:rsidRPr="0020513B">
        <w:rPr>
          <w:rFonts w:ascii="Verdana" w:hAnsi="Verdana"/>
          <w:sz w:val="20"/>
          <w:szCs w:val="20"/>
          <w:lang w:val="cy-GB"/>
        </w:rPr>
        <w:t>8</w:t>
      </w:r>
      <w:r w:rsidR="00176310" w:rsidRPr="0020513B">
        <w:rPr>
          <w:rFonts w:ascii="Verdana" w:hAnsi="Verdana"/>
          <w:sz w:val="20"/>
          <w:szCs w:val="20"/>
          <w:lang w:val="cy-GB"/>
        </w:rPr>
        <w:t xml:space="preserve">. </w:t>
      </w:r>
      <w:r w:rsidR="00921A32" w:rsidRPr="0020513B">
        <w:rPr>
          <w:rFonts w:ascii="Verdana" w:hAnsi="Verdana"/>
          <w:sz w:val="20"/>
          <w:szCs w:val="20"/>
          <w:lang w:val="cy-GB"/>
        </w:rPr>
        <w:t>Bydd y panel yn cadarnhau’r penderfyniad a’r rhesymau drosto trwy ysgrifennu at y gweithiwr o fewn 5 diwrnod gwaith</w:t>
      </w:r>
      <w:r w:rsidR="00176310" w:rsidRPr="0020513B">
        <w:rPr>
          <w:rFonts w:ascii="Verdana" w:hAnsi="Verdana"/>
          <w:color w:val="auto"/>
          <w:sz w:val="20"/>
          <w:szCs w:val="20"/>
          <w:lang w:val="cy-GB"/>
        </w:rPr>
        <w:t>.</w:t>
      </w:r>
      <w:r w:rsidR="00921A32" w:rsidRPr="0020513B">
        <w:rPr>
          <w:rFonts w:ascii="Verdana" w:hAnsi="Verdana"/>
          <w:color w:val="auto"/>
          <w:sz w:val="20"/>
          <w:szCs w:val="20"/>
          <w:lang w:val="cy-GB"/>
        </w:rPr>
        <w:t xml:space="preserve"> Anfonir cadarnhad ysgrifenedig trwy gytundeb </w:t>
      </w:r>
      <w:proofErr w:type="spellStart"/>
      <w:r w:rsidR="00921A32" w:rsidRPr="0020513B">
        <w:rPr>
          <w:rFonts w:ascii="Verdana" w:hAnsi="Verdana"/>
          <w:color w:val="auto"/>
          <w:sz w:val="20"/>
          <w:szCs w:val="20"/>
          <w:lang w:val="cy-GB"/>
        </w:rPr>
        <w:t>â’r</w:t>
      </w:r>
      <w:proofErr w:type="spellEnd"/>
      <w:r w:rsidR="00921A32" w:rsidRPr="0020513B">
        <w:rPr>
          <w:rFonts w:ascii="Verdana" w:hAnsi="Verdana"/>
          <w:color w:val="auto"/>
          <w:sz w:val="20"/>
          <w:szCs w:val="20"/>
          <w:lang w:val="cy-GB"/>
        </w:rPr>
        <w:t xml:space="preserve"> gweithiwr wyneb-yn-wyneb, </w:t>
      </w:r>
      <w:proofErr w:type="spellStart"/>
      <w:r w:rsidR="00921A32" w:rsidRPr="0020513B">
        <w:rPr>
          <w:rFonts w:ascii="Verdana" w:hAnsi="Verdana"/>
          <w:color w:val="auto"/>
          <w:sz w:val="20"/>
          <w:szCs w:val="20"/>
          <w:lang w:val="cy-GB"/>
        </w:rPr>
        <w:t>trwy’r</w:t>
      </w:r>
      <w:proofErr w:type="spellEnd"/>
      <w:r w:rsidR="00921A32" w:rsidRPr="0020513B">
        <w:rPr>
          <w:rFonts w:ascii="Verdana" w:hAnsi="Verdana"/>
          <w:color w:val="auto"/>
          <w:sz w:val="20"/>
          <w:szCs w:val="20"/>
          <w:lang w:val="cy-GB"/>
        </w:rPr>
        <w:t xml:space="preserve"> post, post mewnol neu drwy e-bost gyda chais i anfon derbynneb i gadarnhau bod y neges wedi ei darllen.</w:t>
      </w:r>
      <w:r w:rsidR="00176310" w:rsidRPr="0020513B">
        <w:rPr>
          <w:rFonts w:ascii="Verdana" w:hAnsi="Verdana"/>
          <w:color w:val="auto"/>
          <w:sz w:val="20"/>
          <w:szCs w:val="20"/>
          <w:lang w:val="cy-GB"/>
        </w:rPr>
        <w:t xml:space="preserve">  </w:t>
      </w:r>
    </w:p>
    <w:p w14:paraId="197A90C1" w14:textId="77777777" w:rsidR="00176310" w:rsidRPr="0020513B" w:rsidRDefault="00176310" w:rsidP="00176310">
      <w:pPr>
        <w:jc w:val="both"/>
        <w:rPr>
          <w:rFonts w:ascii="Verdana" w:hAnsi="Verdana"/>
          <w:sz w:val="20"/>
          <w:szCs w:val="20"/>
          <w:lang w:val="cy-GB"/>
        </w:rPr>
      </w:pPr>
    </w:p>
    <w:p w14:paraId="3B2AEA9C" w14:textId="77777777" w:rsidR="005A4C37" w:rsidRPr="0020513B" w:rsidRDefault="005A4C37" w:rsidP="006E41FB">
      <w:pPr>
        <w:pStyle w:val="NormalWeb"/>
        <w:jc w:val="both"/>
        <w:rPr>
          <w:rStyle w:val="Strong"/>
          <w:rFonts w:ascii="Verdana" w:hAnsi="Verdana"/>
          <w:b w:val="0"/>
          <w:sz w:val="20"/>
          <w:szCs w:val="20"/>
          <w:lang w:val="cy-GB"/>
        </w:rPr>
      </w:pPr>
    </w:p>
    <w:sectPr w:rsidR="005A4C37" w:rsidRPr="0020513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FC45B" w14:textId="77777777" w:rsidR="00994C85" w:rsidRDefault="00994C85" w:rsidP="005C7ACF">
      <w:pPr>
        <w:spacing w:after="0" w:line="240" w:lineRule="auto"/>
      </w:pPr>
      <w:r>
        <w:separator/>
      </w:r>
    </w:p>
  </w:endnote>
  <w:endnote w:type="continuationSeparator" w:id="0">
    <w:p w14:paraId="13E43E97" w14:textId="77777777" w:rsidR="00994C85" w:rsidRDefault="00994C85" w:rsidP="005C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89264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B0C7C86" w14:textId="3103BF93" w:rsidR="00016AEC" w:rsidRDefault="00016AE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EA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T u d</w:t>
        </w:r>
      </w:p>
    </w:sdtContent>
  </w:sdt>
  <w:p w14:paraId="5912011C" w14:textId="2FA28CD2" w:rsidR="00016AEC" w:rsidRPr="005A4C37" w:rsidRDefault="00016AEC">
    <w:pPr>
      <w:pStyle w:val="Footer"/>
      <w:rPr>
        <w:rFonts w:ascii="Verdana" w:hAnsi="Verdana"/>
        <w:sz w:val="20"/>
        <w:szCs w:val="20"/>
      </w:rPr>
    </w:pPr>
    <w:proofErr w:type="spellStart"/>
    <w:r>
      <w:rPr>
        <w:rFonts w:ascii="Verdana" w:hAnsi="Verdana"/>
        <w:sz w:val="20"/>
        <w:szCs w:val="20"/>
      </w:rPr>
      <w:t>Polisi</w:t>
    </w:r>
    <w:proofErr w:type="spellEnd"/>
    <w:r>
      <w:rPr>
        <w:rFonts w:ascii="Verdana" w:hAnsi="Verdana"/>
        <w:sz w:val="20"/>
        <w:szCs w:val="20"/>
      </w:rPr>
      <w:t xml:space="preserve"> </w:t>
    </w:r>
    <w:proofErr w:type="spellStart"/>
    <w:r>
      <w:rPr>
        <w:rFonts w:ascii="Verdana" w:hAnsi="Verdana"/>
        <w:sz w:val="20"/>
        <w:szCs w:val="20"/>
      </w:rPr>
      <w:t>Cyfnod</w:t>
    </w:r>
    <w:proofErr w:type="spellEnd"/>
    <w:r>
      <w:rPr>
        <w:rFonts w:ascii="Verdana" w:hAnsi="Verdana"/>
        <w:sz w:val="20"/>
        <w:szCs w:val="20"/>
      </w:rPr>
      <w:t xml:space="preserve"> </w:t>
    </w:r>
    <w:proofErr w:type="spellStart"/>
    <w:r>
      <w:rPr>
        <w:rFonts w:ascii="Verdana" w:hAnsi="Verdana"/>
        <w:sz w:val="20"/>
        <w:szCs w:val="20"/>
      </w:rPr>
      <w:t>Prawf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750FC" w14:textId="77777777" w:rsidR="00994C85" w:rsidRDefault="00994C85" w:rsidP="005C7ACF">
      <w:pPr>
        <w:spacing w:after="0" w:line="240" w:lineRule="auto"/>
      </w:pPr>
      <w:r>
        <w:separator/>
      </w:r>
    </w:p>
  </w:footnote>
  <w:footnote w:type="continuationSeparator" w:id="0">
    <w:p w14:paraId="29F42369" w14:textId="77777777" w:rsidR="00994C85" w:rsidRDefault="00994C85" w:rsidP="005C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E73"/>
    <w:multiLevelType w:val="multilevel"/>
    <w:tmpl w:val="A00ED3B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F14501"/>
    <w:multiLevelType w:val="multilevel"/>
    <w:tmpl w:val="DC3A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C3593"/>
    <w:multiLevelType w:val="multilevel"/>
    <w:tmpl w:val="F430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E6CCF"/>
    <w:multiLevelType w:val="multilevel"/>
    <w:tmpl w:val="A1FA8F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677C5A"/>
    <w:multiLevelType w:val="multilevel"/>
    <w:tmpl w:val="AEC0987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D2F04E2"/>
    <w:multiLevelType w:val="hybridMultilevel"/>
    <w:tmpl w:val="2B8CF420"/>
    <w:lvl w:ilvl="0" w:tplc="F95CE5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CD1DF9"/>
    <w:multiLevelType w:val="hybridMultilevel"/>
    <w:tmpl w:val="9536A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D68A8"/>
    <w:multiLevelType w:val="multilevel"/>
    <w:tmpl w:val="77EE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52B74"/>
    <w:multiLevelType w:val="multilevel"/>
    <w:tmpl w:val="8EC0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20831"/>
    <w:multiLevelType w:val="hybridMultilevel"/>
    <w:tmpl w:val="174C08E6"/>
    <w:lvl w:ilvl="0" w:tplc="BEB83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55A155E9"/>
    <w:multiLevelType w:val="multilevel"/>
    <w:tmpl w:val="10B2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5439B"/>
    <w:multiLevelType w:val="hybridMultilevel"/>
    <w:tmpl w:val="A9861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E7749"/>
    <w:multiLevelType w:val="hybridMultilevel"/>
    <w:tmpl w:val="FB3E180A"/>
    <w:lvl w:ilvl="0" w:tplc="53C05074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EF17FD1"/>
    <w:multiLevelType w:val="hybridMultilevel"/>
    <w:tmpl w:val="A3462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1534B"/>
    <w:multiLevelType w:val="multilevel"/>
    <w:tmpl w:val="5E1E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655DCD"/>
    <w:multiLevelType w:val="multilevel"/>
    <w:tmpl w:val="9130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4C040D"/>
    <w:multiLevelType w:val="multilevel"/>
    <w:tmpl w:val="3F7E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617D50"/>
    <w:multiLevelType w:val="multilevel"/>
    <w:tmpl w:val="5B14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C50D0E"/>
    <w:multiLevelType w:val="multilevel"/>
    <w:tmpl w:val="03541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"/>
  </w:num>
  <w:num w:numId="5">
    <w:abstractNumId w:val="7"/>
  </w:num>
  <w:num w:numId="6">
    <w:abstractNumId w:val="17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  <w:num w:numId="14">
    <w:abstractNumId w:val="4"/>
  </w:num>
  <w:num w:numId="15">
    <w:abstractNumId w:val="9"/>
  </w:num>
  <w:num w:numId="16">
    <w:abstractNumId w:val="12"/>
  </w:num>
  <w:num w:numId="17">
    <w:abstractNumId w:val="5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6"/>
    <w:rsid w:val="00003BFB"/>
    <w:rsid w:val="00016905"/>
    <w:rsid w:val="00016AEC"/>
    <w:rsid w:val="00017FD1"/>
    <w:rsid w:val="000204CB"/>
    <w:rsid w:val="0002516D"/>
    <w:rsid w:val="00026FAF"/>
    <w:rsid w:val="0002768C"/>
    <w:rsid w:val="00035F2E"/>
    <w:rsid w:val="0005324C"/>
    <w:rsid w:val="0009174C"/>
    <w:rsid w:val="00092E08"/>
    <w:rsid w:val="00094064"/>
    <w:rsid w:val="000B41B9"/>
    <w:rsid w:val="00130E6C"/>
    <w:rsid w:val="00145558"/>
    <w:rsid w:val="001464F1"/>
    <w:rsid w:val="0015386A"/>
    <w:rsid w:val="00176310"/>
    <w:rsid w:val="0017739F"/>
    <w:rsid w:val="001A1162"/>
    <w:rsid w:val="001B1F43"/>
    <w:rsid w:val="001C331B"/>
    <w:rsid w:val="001E3D38"/>
    <w:rsid w:val="00200B0A"/>
    <w:rsid w:val="002023C4"/>
    <w:rsid w:val="0020513B"/>
    <w:rsid w:val="002352EB"/>
    <w:rsid w:val="002643DC"/>
    <w:rsid w:val="002719DC"/>
    <w:rsid w:val="0028053B"/>
    <w:rsid w:val="0028347A"/>
    <w:rsid w:val="00296740"/>
    <w:rsid w:val="002A0A9D"/>
    <w:rsid w:val="002E4AE3"/>
    <w:rsid w:val="002F0523"/>
    <w:rsid w:val="002F5AFD"/>
    <w:rsid w:val="00326AA6"/>
    <w:rsid w:val="003803D4"/>
    <w:rsid w:val="00384FC2"/>
    <w:rsid w:val="00385998"/>
    <w:rsid w:val="0039093A"/>
    <w:rsid w:val="00390B5F"/>
    <w:rsid w:val="003A1C70"/>
    <w:rsid w:val="003B5BEE"/>
    <w:rsid w:val="003C70F3"/>
    <w:rsid w:val="003E752E"/>
    <w:rsid w:val="003F517C"/>
    <w:rsid w:val="00467196"/>
    <w:rsid w:val="0047343C"/>
    <w:rsid w:val="00480660"/>
    <w:rsid w:val="00487EC7"/>
    <w:rsid w:val="004B360A"/>
    <w:rsid w:val="004B5BF1"/>
    <w:rsid w:val="004E4D3D"/>
    <w:rsid w:val="004F3044"/>
    <w:rsid w:val="00512309"/>
    <w:rsid w:val="00526F5C"/>
    <w:rsid w:val="00533D43"/>
    <w:rsid w:val="00536B46"/>
    <w:rsid w:val="0055262F"/>
    <w:rsid w:val="00555858"/>
    <w:rsid w:val="005A4C37"/>
    <w:rsid w:val="005B6F27"/>
    <w:rsid w:val="005C7A1C"/>
    <w:rsid w:val="005C7ACF"/>
    <w:rsid w:val="006236EF"/>
    <w:rsid w:val="00667786"/>
    <w:rsid w:val="00692F47"/>
    <w:rsid w:val="006936FA"/>
    <w:rsid w:val="006B4555"/>
    <w:rsid w:val="006B686E"/>
    <w:rsid w:val="006B733B"/>
    <w:rsid w:val="006C291D"/>
    <w:rsid w:val="006D15D3"/>
    <w:rsid w:val="006E1DF7"/>
    <w:rsid w:val="006E2071"/>
    <w:rsid w:val="006E41FB"/>
    <w:rsid w:val="007A69E9"/>
    <w:rsid w:val="007B7343"/>
    <w:rsid w:val="00810448"/>
    <w:rsid w:val="008240DD"/>
    <w:rsid w:val="00847EAE"/>
    <w:rsid w:val="008765CC"/>
    <w:rsid w:val="008A5049"/>
    <w:rsid w:val="008B2175"/>
    <w:rsid w:val="00921A32"/>
    <w:rsid w:val="00931915"/>
    <w:rsid w:val="00943686"/>
    <w:rsid w:val="009744C8"/>
    <w:rsid w:val="00976720"/>
    <w:rsid w:val="00985577"/>
    <w:rsid w:val="00994C85"/>
    <w:rsid w:val="009D350F"/>
    <w:rsid w:val="009D7314"/>
    <w:rsid w:val="00A004CF"/>
    <w:rsid w:val="00A2669D"/>
    <w:rsid w:val="00A34702"/>
    <w:rsid w:val="00A432E6"/>
    <w:rsid w:val="00A52F62"/>
    <w:rsid w:val="00A5440B"/>
    <w:rsid w:val="00A56427"/>
    <w:rsid w:val="00AA7460"/>
    <w:rsid w:val="00AA7825"/>
    <w:rsid w:val="00AC1A8D"/>
    <w:rsid w:val="00AC1F56"/>
    <w:rsid w:val="00AE4FA9"/>
    <w:rsid w:val="00B066FC"/>
    <w:rsid w:val="00B37F95"/>
    <w:rsid w:val="00B84603"/>
    <w:rsid w:val="00BB0DF6"/>
    <w:rsid w:val="00BB4E06"/>
    <w:rsid w:val="00BB72AB"/>
    <w:rsid w:val="00BC77AD"/>
    <w:rsid w:val="00BD1A5C"/>
    <w:rsid w:val="00BD7017"/>
    <w:rsid w:val="00BF0AFA"/>
    <w:rsid w:val="00C138A7"/>
    <w:rsid w:val="00C2453E"/>
    <w:rsid w:val="00C67C02"/>
    <w:rsid w:val="00CA1DDE"/>
    <w:rsid w:val="00CC3786"/>
    <w:rsid w:val="00CC7E8A"/>
    <w:rsid w:val="00CE5C79"/>
    <w:rsid w:val="00CF5FF1"/>
    <w:rsid w:val="00D01A2C"/>
    <w:rsid w:val="00D07CEB"/>
    <w:rsid w:val="00D229E9"/>
    <w:rsid w:val="00D23990"/>
    <w:rsid w:val="00D30116"/>
    <w:rsid w:val="00D3514F"/>
    <w:rsid w:val="00D44DC8"/>
    <w:rsid w:val="00D45258"/>
    <w:rsid w:val="00D55B8A"/>
    <w:rsid w:val="00DA0FFF"/>
    <w:rsid w:val="00DB4FA9"/>
    <w:rsid w:val="00DC700E"/>
    <w:rsid w:val="00DD2174"/>
    <w:rsid w:val="00DD2643"/>
    <w:rsid w:val="00DE4312"/>
    <w:rsid w:val="00E510C8"/>
    <w:rsid w:val="00E6283C"/>
    <w:rsid w:val="00EA21E5"/>
    <w:rsid w:val="00EB7381"/>
    <w:rsid w:val="00EB7A66"/>
    <w:rsid w:val="00ED2BFF"/>
    <w:rsid w:val="00ED5B2F"/>
    <w:rsid w:val="00EE6106"/>
    <w:rsid w:val="00EF1B45"/>
    <w:rsid w:val="00F03A40"/>
    <w:rsid w:val="00F042D3"/>
    <w:rsid w:val="00F1045F"/>
    <w:rsid w:val="00F16A0C"/>
    <w:rsid w:val="00F269B6"/>
    <w:rsid w:val="00F74BC7"/>
    <w:rsid w:val="00F85DA3"/>
    <w:rsid w:val="00F93148"/>
    <w:rsid w:val="00FB10F9"/>
    <w:rsid w:val="00FD0298"/>
    <w:rsid w:val="00FD1705"/>
    <w:rsid w:val="00FE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83B1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0D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3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2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7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CF"/>
  </w:style>
  <w:style w:type="paragraph" w:styleId="Footer">
    <w:name w:val="footer"/>
    <w:basedOn w:val="Normal"/>
    <w:link w:val="FooterChar"/>
    <w:uiPriority w:val="99"/>
    <w:unhideWhenUsed/>
    <w:rsid w:val="005C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CF"/>
  </w:style>
  <w:style w:type="character" w:styleId="Hyperlink">
    <w:name w:val="Hyperlink"/>
    <w:basedOn w:val="DefaultParagraphFont"/>
    <w:uiPriority w:val="99"/>
    <w:unhideWhenUsed/>
    <w:rsid w:val="008A50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0D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3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2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87E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CF"/>
  </w:style>
  <w:style w:type="paragraph" w:styleId="Footer">
    <w:name w:val="footer"/>
    <w:basedOn w:val="Normal"/>
    <w:link w:val="FooterChar"/>
    <w:uiPriority w:val="99"/>
    <w:unhideWhenUsed/>
    <w:rsid w:val="005C7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CF"/>
  </w:style>
  <w:style w:type="character" w:styleId="Hyperlink">
    <w:name w:val="Hyperlink"/>
    <w:basedOn w:val="DefaultParagraphFont"/>
    <w:uiPriority w:val="99"/>
    <w:unhideWhenUsed/>
    <w:rsid w:val="008A5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2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aber.ac.uk/cy/hr/ec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5513-DA1C-4513-AC68-91EFCE22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3324</Words>
  <Characters>17285</Characters>
  <Application>Microsoft Office Word</Application>
  <DocSecurity>4</DocSecurity>
  <Lines>345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Merriman [ldd]</dc:creator>
  <cp:lastModifiedBy>Sara Jones [sjj]</cp:lastModifiedBy>
  <cp:revision>2</cp:revision>
  <cp:lastPrinted>2017-01-16T09:34:00Z</cp:lastPrinted>
  <dcterms:created xsi:type="dcterms:W3CDTF">2017-01-20T11:52:00Z</dcterms:created>
  <dcterms:modified xsi:type="dcterms:W3CDTF">2017-01-20T11:52:00Z</dcterms:modified>
</cp:coreProperties>
</file>