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6DCFA61" w:rsidR="00894DA9" w:rsidRPr="0056631D" w:rsidRDefault="00C945D9" w:rsidP="4291970F">
      <w:pPr>
        <w:pStyle w:val="Title"/>
        <w:rPr>
          <w:lang w:val="cy-GB"/>
        </w:rPr>
      </w:pPr>
      <w:bookmarkStart w:id="0" w:name="_GoBack"/>
      <w:r w:rsidRPr="0056631D">
        <w:rPr>
          <w:lang w:val="cy-GB"/>
        </w:rPr>
        <w:t>Monitro Ymgysylltu Myfyrwyr wrth ddysgu ar lein</w:t>
      </w:r>
      <w:r w:rsidR="0055682A">
        <w:rPr>
          <w:lang w:val="cy-GB"/>
        </w:rPr>
        <w:t xml:space="preserve">  </w:t>
      </w:r>
      <w:r w:rsidR="00787245">
        <w:rPr>
          <w:lang w:val="cy-GB"/>
        </w:rPr>
        <w:t xml:space="preserve">  </w:t>
      </w:r>
    </w:p>
    <w:bookmarkEnd w:id="0"/>
    <w:p w14:paraId="55172A44" w14:textId="16A8AFE1" w:rsidR="0026161C" w:rsidRPr="0056631D" w:rsidRDefault="00C945D9" w:rsidP="4291970F">
      <w:pPr>
        <w:jc w:val="right"/>
        <w:rPr>
          <w:i/>
          <w:iCs/>
          <w:lang w:val="cy-GB"/>
        </w:rPr>
      </w:pPr>
      <w:r w:rsidRPr="0056631D">
        <w:rPr>
          <w:i/>
          <w:iCs/>
          <w:lang w:val="cy-GB"/>
        </w:rPr>
        <w:t>Yr Uned Datblygu Dysgu ac Addysgu, Hydref 2019</w:t>
      </w:r>
    </w:p>
    <w:p w14:paraId="0AA98F41" w14:textId="54AB0ED9" w:rsidR="00211A4C" w:rsidRPr="0056631D" w:rsidRDefault="005C3E23" w:rsidP="00211A4C">
      <w:pPr>
        <w:rPr>
          <w:lang w:val="cy-GB"/>
        </w:rPr>
      </w:pPr>
      <w:r w:rsidRPr="0056631D">
        <w:rPr>
          <w:lang w:val="cy-GB"/>
        </w:rPr>
        <w:t xml:space="preserve">Nod y canllaw hwn yw cyflwyno gwybodaeth ichi am offer defnyddiol yn Blackboard all </w:t>
      </w:r>
      <w:r w:rsidR="00A83137" w:rsidRPr="0056631D">
        <w:rPr>
          <w:lang w:val="cy-GB"/>
        </w:rPr>
        <w:t xml:space="preserve">eich </w:t>
      </w:r>
      <w:r w:rsidRPr="0056631D">
        <w:rPr>
          <w:lang w:val="cy-GB"/>
        </w:rPr>
        <w:t xml:space="preserve">helpu ichi fonitro ymgysylltu </w:t>
      </w:r>
      <w:r w:rsidRPr="0056631D">
        <w:rPr>
          <w:rFonts w:cstheme="minorHAnsi"/>
          <w:lang w:val="cy-GB"/>
        </w:rPr>
        <w:t>â</w:t>
      </w:r>
      <w:r w:rsidRPr="0056631D">
        <w:rPr>
          <w:lang w:val="cy-GB"/>
        </w:rPr>
        <w:t xml:space="preserve"> myfyrwyr. Fe’i paratowyd yn wreiddiol ar gyfer fforwm Dysgu o bell ond mae’r offer a drafodir yn berthnasol i ddysgu ar lein. Yn ogystal </w:t>
      </w:r>
      <w:r w:rsidRPr="0056631D">
        <w:rPr>
          <w:rFonts w:cstheme="minorHAnsi"/>
          <w:lang w:val="cy-GB"/>
        </w:rPr>
        <w:t>â</w:t>
      </w:r>
      <w:r w:rsidRPr="0056631D">
        <w:rPr>
          <w:lang w:val="cy-GB"/>
        </w:rPr>
        <w:t xml:space="preserve"> rhoi peth cyfarwyddyd i ddefnyddio offer Blackboard, ceir hefyd ambell adnodd ar ymgysylltu </w:t>
      </w:r>
      <w:r w:rsidRPr="0056631D">
        <w:rPr>
          <w:rFonts w:cstheme="minorHAnsi"/>
          <w:lang w:val="cy-GB"/>
        </w:rPr>
        <w:t>â</w:t>
      </w:r>
      <w:r w:rsidRPr="0056631D">
        <w:rPr>
          <w:lang w:val="cy-GB"/>
        </w:rPr>
        <w:t xml:space="preserve"> myfyrwyr a dysgu ar lein ar ddiwedd y ddogfen hon.</w:t>
      </w:r>
    </w:p>
    <w:p w14:paraId="7535DF10" w14:textId="50F1E1C0" w:rsidR="3216E43C" w:rsidRPr="0056631D" w:rsidRDefault="00E370CF" w:rsidP="63F16F88">
      <w:pPr>
        <w:pStyle w:val="Heading1"/>
        <w:rPr>
          <w:lang w:val="cy-GB"/>
        </w:rPr>
      </w:pPr>
      <w:r w:rsidRPr="0056631D">
        <w:rPr>
          <w:lang w:val="cy-GB"/>
        </w:rPr>
        <w:t>Olrhain Ystadegau</w:t>
      </w:r>
    </w:p>
    <w:tbl>
      <w:tblPr>
        <w:tblStyle w:val="TableGrid"/>
        <w:tblW w:w="0" w:type="auto"/>
        <w:tblLook w:val="04A0" w:firstRow="1" w:lastRow="0" w:firstColumn="1" w:lastColumn="0" w:noHBand="0" w:noVBand="1"/>
      </w:tblPr>
      <w:tblGrid>
        <w:gridCol w:w="4508"/>
        <w:gridCol w:w="4508"/>
      </w:tblGrid>
      <w:tr w:rsidR="63F16F88" w:rsidRPr="0056631D" w14:paraId="20FDAF47" w14:textId="77777777" w:rsidTr="63F16F88">
        <w:tc>
          <w:tcPr>
            <w:tcW w:w="9016" w:type="dxa"/>
            <w:gridSpan w:val="2"/>
          </w:tcPr>
          <w:p w14:paraId="288880E2" w14:textId="621EB8C4" w:rsidR="63F16F88" w:rsidRPr="0056631D" w:rsidRDefault="00E370CF">
            <w:pPr>
              <w:rPr>
                <w:lang w:val="cy-GB"/>
              </w:rPr>
            </w:pPr>
            <w:r w:rsidRPr="0056631D">
              <w:rPr>
                <w:lang w:val="cy-GB"/>
              </w:rPr>
              <w:t xml:space="preserve">Mae Olrhain Ystadegau yn ffordd ddefnyddiol o fonitro sawl un o’ch myfyrwyr sydd wedi ymgysylltu </w:t>
            </w:r>
            <w:r w:rsidRPr="0056631D">
              <w:rPr>
                <w:rFonts w:cstheme="minorHAnsi"/>
                <w:lang w:val="cy-GB"/>
              </w:rPr>
              <w:t>â</w:t>
            </w:r>
            <w:r w:rsidRPr="0056631D">
              <w:rPr>
                <w:lang w:val="cy-GB"/>
              </w:rPr>
              <w:t>’ch deunyddiau cwrs.</w:t>
            </w:r>
          </w:p>
          <w:p w14:paraId="2CE9432D" w14:textId="77777777" w:rsidR="63F16F88" w:rsidRPr="0056631D" w:rsidRDefault="63F16F88">
            <w:pPr>
              <w:rPr>
                <w:lang w:val="cy-GB"/>
              </w:rPr>
            </w:pPr>
          </w:p>
          <w:p w14:paraId="2A06894C" w14:textId="141F7332" w:rsidR="63F16F88" w:rsidRPr="0056631D" w:rsidRDefault="00E370CF">
            <w:pPr>
              <w:rPr>
                <w:lang w:val="cy-GB"/>
              </w:rPr>
            </w:pPr>
            <w:r w:rsidRPr="0056631D">
              <w:rPr>
                <w:lang w:val="cy-GB"/>
              </w:rPr>
              <w:t>Mae’r offer ar gael yn Blackboard</w:t>
            </w:r>
            <w:r w:rsidR="63F16F88" w:rsidRPr="0056631D">
              <w:rPr>
                <w:lang w:val="cy-GB"/>
              </w:rPr>
              <w:t xml:space="preserve">. </w:t>
            </w:r>
          </w:p>
          <w:p w14:paraId="7A73BA13" w14:textId="77777777" w:rsidR="63F16F88" w:rsidRPr="0056631D" w:rsidRDefault="63F16F88">
            <w:pPr>
              <w:rPr>
                <w:lang w:val="cy-GB"/>
              </w:rPr>
            </w:pPr>
          </w:p>
        </w:tc>
      </w:tr>
      <w:tr w:rsidR="63F16F88" w:rsidRPr="0056631D" w14:paraId="1160F4A4" w14:textId="77777777" w:rsidTr="63F16F88">
        <w:tc>
          <w:tcPr>
            <w:tcW w:w="4508" w:type="dxa"/>
          </w:tcPr>
          <w:p w14:paraId="666DF672" w14:textId="1E7FF395" w:rsidR="63F16F88" w:rsidRPr="0056631D" w:rsidRDefault="00E370CF">
            <w:pPr>
              <w:rPr>
                <w:lang w:val="cy-GB"/>
              </w:rPr>
            </w:pPr>
            <w:r w:rsidRPr="0056631D">
              <w:rPr>
                <w:lang w:val="cy-GB"/>
              </w:rPr>
              <w:t>Sut mae cadw golwg ar ddefnydd myfyrwyr o eitemau yn fy modiwl Blackboard?</w:t>
            </w:r>
          </w:p>
        </w:tc>
        <w:tc>
          <w:tcPr>
            <w:tcW w:w="4508" w:type="dxa"/>
          </w:tcPr>
          <w:p w14:paraId="2A71B3E3" w14:textId="77777777" w:rsidR="63F16F88" w:rsidRPr="0056631D" w:rsidRDefault="00114379">
            <w:pPr>
              <w:rPr>
                <w:lang w:val="cy-GB"/>
              </w:rPr>
            </w:pPr>
            <w:hyperlink r:id="rId8">
              <w:r w:rsidR="63F16F88" w:rsidRPr="0056631D">
                <w:rPr>
                  <w:rStyle w:val="Hyperlink"/>
                  <w:lang w:val="cy-GB"/>
                </w:rPr>
                <w:t>https://faqs.aber.ac.uk/index.php?id=628</w:t>
              </w:r>
            </w:hyperlink>
            <w:r w:rsidR="63F16F88" w:rsidRPr="0056631D">
              <w:rPr>
                <w:lang w:val="cy-GB"/>
              </w:rPr>
              <w:t xml:space="preserve"> </w:t>
            </w:r>
          </w:p>
        </w:tc>
      </w:tr>
    </w:tbl>
    <w:p w14:paraId="2C067FFE" w14:textId="679C4CF1" w:rsidR="3216E43C" w:rsidRPr="0056631D" w:rsidRDefault="00223638" w:rsidP="63F16F88">
      <w:pPr>
        <w:pStyle w:val="Heading1"/>
        <w:rPr>
          <w:lang w:val="cy-GB"/>
        </w:rPr>
      </w:pPr>
      <w:r w:rsidRPr="0056631D">
        <w:rPr>
          <w:lang w:val="cy-GB"/>
        </w:rPr>
        <w:t>Statws Adolygu</w:t>
      </w:r>
    </w:p>
    <w:tbl>
      <w:tblPr>
        <w:tblStyle w:val="TableGrid"/>
        <w:tblW w:w="0" w:type="auto"/>
        <w:tblLook w:val="04A0" w:firstRow="1" w:lastRow="0" w:firstColumn="1" w:lastColumn="0" w:noHBand="0" w:noVBand="1"/>
      </w:tblPr>
      <w:tblGrid>
        <w:gridCol w:w="4508"/>
        <w:gridCol w:w="4508"/>
      </w:tblGrid>
      <w:tr w:rsidR="63F16F88" w:rsidRPr="0056631D" w14:paraId="20998834" w14:textId="77777777" w:rsidTr="63F16F88">
        <w:tc>
          <w:tcPr>
            <w:tcW w:w="9016" w:type="dxa"/>
            <w:gridSpan w:val="2"/>
          </w:tcPr>
          <w:p w14:paraId="477EAC46" w14:textId="6BECA3E4" w:rsidR="63F16F88" w:rsidRPr="0056631D" w:rsidRDefault="00223638">
            <w:pPr>
              <w:rPr>
                <w:lang w:val="cy-GB"/>
              </w:rPr>
            </w:pPr>
            <w:r w:rsidRPr="0056631D">
              <w:rPr>
                <w:lang w:val="cy-GB"/>
              </w:rPr>
              <w:t>Mae’r Statws Adolygu yn gofyn i’r myfyrwyr farcio pa eitemau cynnwys y maent wedi’u hadolygu. Bydd hyn yn eich galluogi i weld cynnydd myfyrwyr o ran y modiwlau a’r eitemau.</w:t>
            </w:r>
          </w:p>
          <w:p w14:paraId="3F3CC9C4" w14:textId="77777777" w:rsidR="63F16F88" w:rsidRPr="0056631D" w:rsidRDefault="63F16F88">
            <w:pPr>
              <w:rPr>
                <w:lang w:val="cy-GB"/>
              </w:rPr>
            </w:pPr>
          </w:p>
          <w:p w14:paraId="2C184A81" w14:textId="7A5DDF2E" w:rsidR="63F16F88" w:rsidRPr="0056631D" w:rsidRDefault="00223638">
            <w:pPr>
              <w:rPr>
                <w:lang w:val="cy-GB"/>
              </w:rPr>
            </w:pPr>
            <w:r w:rsidRPr="0056631D">
              <w:rPr>
                <w:lang w:val="cy-GB"/>
              </w:rPr>
              <w:t>Mae defnyddio Statws Adolygu yn rhoi’r pwyslais ar roi eu statws adolygu eu hunain i fyfyrwyr.</w:t>
            </w:r>
          </w:p>
        </w:tc>
      </w:tr>
      <w:tr w:rsidR="63F16F88" w:rsidRPr="0056631D" w14:paraId="7215AF6E" w14:textId="77777777" w:rsidTr="63F16F88">
        <w:tc>
          <w:tcPr>
            <w:tcW w:w="4508" w:type="dxa"/>
          </w:tcPr>
          <w:p w14:paraId="1CEF4410" w14:textId="76D38FE9" w:rsidR="63F16F88" w:rsidRPr="0056631D" w:rsidRDefault="00223638">
            <w:pPr>
              <w:rPr>
                <w:lang w:val="cy-GB"/>
              </w:rPr>
            </w:pPr>
            <w:r w:rsidRPr="0056631D">
              <w:rPr>
                <w:lang w:val="cy-GB"/>
              </w:rPr>
              <w:t>Beth yw’r Statws Adolygu yn Blackboard</w:t>
            </w:r>
            <w:r w:rsidR="63F16F88" w:rsidRPr="0056631D">
              <w:rPr>
                <w:lang w:val="cy-GB"/>
              </w:rPr>
              <w:t xml:space="preserve">? </w:t>
            </w:r>
          </w:p>
        </w:tc>
        <w:tc>
          <w:tcPr>
            <w:tcW w:w="4508" w:type="dxa"/>
          </w:tcPr>
          <w:p w14:paraId="3F059BF6" w14:textId="77777777" w:rsidR="63F16F88" w:rsidRPr="0056631D" w:rsidRDefault="00114379">
            <w:pPr>
              <w:rPr>
                <w:lang w:val="cy-GB"/>
              </w:rPr>
            </w:pPr>
            <w:hyperlink r:id="rId9">
              <w:r w:rsidR="63F16F88" w:rsidRPr="0056631D">
                <w:rPr>
                  <w:rStyle w:val="Hyperlink"/>
                  <w:lang w:val="cy-GB"/>
                </w:rPr>
                <w:t>https://faqs.aber.ac.uk/index.php?search=2869</w:t>
              </w:r>
            </w:hyperlink>
          </w:p>
        </w:tc>
      </w:tr>
    </w:tbl>
    <w:p w14:paraId="693AFA34" w14:textId="1B9BB3B2" w:rsidR="3216E43C" w:rsidRPr="0056631D" w:rsidRDefault="002A457B" w:rsidP="63F16F88">
      <w:pPr>
        <w:pStyle w:val="Heading1"/>
        <w:rPr>
          <w:lang w:val="cy-GB"/>
        </w:rPr>
      </w:pPr>
      <w:r w:rsidRPr="0056631D">
        <w:rPr>
          <w:lang w:val="cy-GB"/>
        </w:rPr>
        <w:t>Rhyddhau’n Ymaddasol</w:t>
      </w:r>
    </w:p>
    <w:tbl>
      <w:tblPr>
        <w:tblStyle w:val="TableGrid"/>
        <w:tblW w:w="0" w:type="auto"/>
        <w:tblLook w:val="04A0" w:firstRow="1" w:lastRow="0" w:firstColumn="1" w:lastColumn="0" w:noHBand="0" w:noVBand="1"/>
      </w:tblPr>
      <w:tblGrid>
        <w:gridCol w:w="4508"/>
        <w:gridCol w:w="4508"/>
      </w:tblGrid>
      <w:tr w:rsidR="63F16F88" w:rsidRPr="0056631D" w14:paraId="021B9904" w14:textId="77777777" w:rsidTr="63F16F88">
        <w:tc>
          <w:tcPr>
            <w:tcW w:w="9016" w:type="dxa"/>
            <w:gridSpan w:val="2"/>
          </w:tcPr>
          <w:p w14:paraId="627173A6" w14:textId="4CAD4DB7" w:rsidR="63F16F88" w:rsidRPr="0056631D" w:rsidRDefault="008659E4">
            <w:pPr>
              <w:rPr>
                <w:lang w:val="cy-GB"/>
              </w:rPr>
            </w:pPr>
            <w:r w:rsidRPr="0056631D">
              <w:rPr>
                <w:lang w:val="cy-GB"/>
              </w:rPr>
              <w:t xml:space="preserve">Mae rhyddhau deunyddiau’n ymaddasol yn rhoi dull hyblyg i diwtoriaid reoli pa eitemau mewn cwrs Blackboard sydd ar gael i fyfyrwyr. Gallwch addasu llwybrau trwy’ch deunydd i fodloni gofynion grwpiau neu fyfyrwyr unigol. Mae hyn yn arbennig o ddefnyddiol os oes gennych ddeunyddiau craidd ac atodol. Er enghraifft, efallai yr hoffech ryddhau deunydd atodol i’r myfyrwyr hynny sy’n cael marciau gwael mewn asesiad yn unig, ond nid i’r holl ddosbarth. Gallwch osod llwybr o ragofynion amodol, megis na chaiff myfyrwyr weld deunydd uwch nes eu bod wedi edrych ar y deunydd rhagarweiniol. Gallwch sicrhau bod deunydd ond ar gael am y cyfnod y mae’n berthnasol, megis cyn neu ar </w:t>
            </w:r>
            <w:r w:rsidRPr="0056631D">
              <w:rPr>
                <w:rFonts w:cstheme="minorHAnsi"/>
                <w:lang w:val="cy-GB"/>
              </w:rPr>
              <w:t>ô</w:t>
            </w:r>
            <w:r w:rsidRPr="0056631D">
              <w:rPr>
                <w:lang w:val="cy-GB"/>
              </w:rPr>
              <w:t>l gwers ymarferol yn y labordy. Efallai yr hoffech hefyd sicrhau bod deunydd ond ar gael i gr</w:t>
            </w:r>
            <w:r w:rsidRPr="0056631D">
              <w:rPr>
                <w:rFonts w:cstheme="minorHAnsi"/>
                <w:lang w:val="cy-GB"/>
              </w:rPr>
              <w:t>ŵ</w:t>
            </w:r>
            <w:r w:rsidRPr="0056631D">
              <w:rPr>
                <w:lang w:val="cy-GB"/>
              </w:rPr>
              <w:t>p penodol o fyfyrwyr am bwnc prosiect eu gr</w:t>
            </w:r>
            <w:r w:rsidRPr="0056631D">
              <w:rPr>
                <w:rFonts w:ascii="Calibri" w:hAnsi="Calibri" w:cs="Calibri"/>
                <w:lang w:val="cy-GB"/>
              </w:rPr>
              <w:t>ŵ</w:t>
            </w:r>
            <w:r w:rsidRPr="0056631D">
              <w:rPr>
                <w:lang w:val="cy-GB"/>
              </w:rPr>
              <w:t>p.</w:t>
            </w:r>
          </w:p>
          <w:p w14:paraId="2FD8F82A" w14:textId="77777777" w:rsidR="63F16F88" w:rsidRPr="0056631D" w:rsidRDefault="63F16F88">
            <w:pPr>
              <w:rPr>
                <w:lang w:val="cy-GB"/>
              </w:rPr>
            </w:pPr>
          </w:p>
        </w:tc>
      </w:tr>
      <w:tr w:rsidR="63F16F88" w:rsidRPr="0056631D" w14:paraId="13CB99EA" w14:textId="77777777" w:rsidTr="63F16F88">
        <w:tc>
          <w:tcPr>
            <w:tcW w:w="4508" w:type="dxa"/>
          </w:tcPr>
          <w:p w14:paraId="58B9F33E" w14:textId="33A84DD2" w:rsidR="63F16F88" w:rsidRPr="0056631D" w:rsidRDefault="002A457B">
            <w:pPr>
              <w:rPr>
                <w:lang w:val="cy-GB"/>
              </w:rPr>
            </w:pPr>
            <w:r w:rsidRPr="0056631D">
              <w:rPr>
                <w:lang w:val="cy-GB"/>
              </w:rPr>
              <w:t>Sut mae rheoli pryd y mae eitemau yn Blackboard ar gael i’m myfyrwyr?</w:t>
            </w:r>
          </w:p>
        </w:tc>
        <w:tc>
          <w:tcPr>
            <w:tcW w:w="4508" w:type="dxa"/>
          </w:tcPr>
          <w:p w14:paraId="6909B8B7" w14:textId="77777777" w:rsidR="63F16F88" w:rsidRPr="0056631D" w:rsidRDefault="00114379">
            <w:pPr>
              <w:rPr>
                <w:lang w:val="cy-GB"/>
              </w:rPr>
            </w:pPr>
            <w:hyperlink r:id="rId10">
              <w:r w:rsidR="63F16F88" w:rsidRPr="0056631D">
                <w:rPr>
                  <w:rStyle w:val="Hyperlink"/>
                  <w:lang w:val="cy-GB"/>
                </w:rPr>
                <w:t>https://faqs.aber.ac.uk/index.php?id=582</w:t>
              </w:r>
            </w:hyperlink>
            <w:r w:rsidR="63F16F88" w:rsidRPr="0056631D">
              <w:rPr>
                <w:lang w:val="cy-GB"/>
              </w:rPr>
              <w:t xml:space="preserve"> </w:t>
            </w:r>
          </w:p>
        </w:tc>
      </w:tr>
      <w:tr w:rsidR="63F16F88" w:rsidRPr="0056631D" w14:paraId="7C85155E" w14:textId="77777777" w:rsidTr="63F16F88">
        <w:tc>
          <w:tcPr>
            <w:tcW w:w="4508" w:type="dxa"/>
          </w:tcPr>
          <w:p w14:paraId="5B33DD47" w14:textId="019EBD60" w:rsidR="63F16F88" w:rsidRPr="0056631D" w:rsidRDefault="63F16F88">
            <w:pPr>
              <w:rPr>
                <w:lang w:val="cy-GB"/>
              </w:rPr>
            </w:pPr>
            <w:r w:rsidRPr="0056631D">
              <w:rPr>
                <w:lang w:val="cy-GB"/>
              </w:rPr>
              <w:t xml:space="preserve">Irwin, B. et al. 2013. ‘Engaging students with feedback through adaptive release’. </w:t>
            </w:r>
            <w:r w:rsidRPr="0056631D">
              <w:rPr>
                <w:i/>
                <w:iCs/>
                <w:lang w:val="cy-GB"/>
              </w:rPr>
              <w:t xml:space="preserve">Innovations in Education and Teaching International. </w:t>
            </w:r>
            <w:r w:rsidRPr="0056631D">
              <w:rPr>
                <w:lang w:val="cy-GB"/>
              </w:rPr>
              <w:t>50: 1. DOI:</w:t>
            </w:r>
            <w:r w:rsidRPr="0056631D">
              <w:rPr>
                <w:b/>
                <w:bCs/>
                <w:lang w:val="cy-GB"/>
              </w:rPr>
              <w:t> </w:t>
            </w:r>
            <w:r w:rsidRPr="0056631D">
              <w:rPr>
                <w:lang w:val="cy-GB"/>
              </w:rPr>
              <w:t>10.1080/14703297.2012.</w:t>
            </w:r>
            <w:r w:rsidR="00223638" w:rsidRPr="0056631D">
              <w:rPr>
                <w:lang w:val="cy-GB"/>
              </w:rPr>
              <w:t>748333. Tt. 51-61. Cyrchwyd ddiwethaf</w:t>
            </w:r>
            <w:r w:rsidRPr="0056631D">
              <w:rPr>
                <w:lang w:val="cy-GB"/>
              </w:rPr>
              <w:t xml:space="preserve"> 21.10.2019. </w:t>
            </w:r>
          </w:p>
        </w:tc>
        <w:tc>
          <w:tcPr>
            <w:tcW w:w="4508" w:type="dxa"/>
          </w:tcPr>
          <w:p w14:paraId="6C9792ED" w14:textId="27E53E87" w:rsidR="63F16F88" w:rsidRPr="0056631D" w:rsidRDefault="002A457B">
            <w:pPr>
              <w:rPr>
                <w:lang w:val="cy-GB"/>
              </w:rPr>
            </w:pPr>
            <w:r w:rsidRPr="0056631D">
              <w:rPr>
                <w:lang w:val="cy-GB"/>
              </w:rPr>
              <w:t>Mae’r erthygl hon yn ystyried effaith defnyddio rhyddhau’n ymaddasol ar gyfer rhyddhau adborth i fyfyrwyr. Pwrpas gwneud hyn oedd annog myfyrwyr i dalu mwy o sylw i’w hadborth. Gellir hefyd ddefnyddio rhyddhau’n ymaddasol yn y ffordd yma i ennyn diddordeb myfyrwyr yn eu tasgau dysgu.</w:t>
            </w:r>
            <w:r w:rsidR="63F16F88" w:rsidRPr="0056631D">
              <w:rPr>
                <w:lang w:val="cy-GB"/>
              </w:rPr>
              <w:t xml:space="preserve"> </w:t>
            </w:r>
          </w:p>
          <w:p w14:paraId="136AB2F9" w14:textId="77777777" w:rsidR="63F16F88" w:rsidRPr="0056631D" w:rsidRDefault="63F16F88">
            <w:pPr>
              <w:rPr>
                <w:lang w:val="cy-GB"/>
              </w:rPr>
            </w:pPr>
          </w:p>
          <w:p w14:paraId="3DD6D46F" w14:textId="7395B28C" w:rsidR="63F16F88" w:rsidRPr="0056631D" w:rsidRDefault="002A457B">
            <w:pPr>
              <w:rPr>
                <w:lang w:val="cy-GB"/>
              </w:rPr>
            </w:pPr>
            <w:r w:rsidRPr="0056631D">
              <w:rPr>
                <w:lang w:val="cy-GB"/>
              </w:rPr>
              <w:lastRenderedPageBreak/>
              <w:t xml:space="preserve">Gallwch ddefnyddio rhyddhau’n ymaddasol drwy’r ganolfan raddio a chwblhau prawf neu gwis, er enghraifft, i ryddhau’r uned nesaf i fyfyrwyr. A gallwch hefyd ei ddefnyddio i guddio’r cynnwys ar </w:t>
            </w:r>
            <w:r w:rsidRPr="0056631D">
              <w:rPr>
                <w:rFonts w:cstheme="minorHAnsi"/>
                <w:lang w:val="cy-GB"/>
              </w:rPr>
              <w:t>ô</w:t>
            </w:r>
            <w:r w:rsidRPr="0056631D">
              <w:rPr>
                <w:lang w:val="cy-GB"/>
              </w:rPr>
              <w:t>l iddi gael ei gwblhau.</w:t>
            </w:r>
          </w:p>
        </w:tc>
      </w:tr>
    </w:tbl>
    <w:p w14:paraId="4FFA7AFF" w14:textId="27521375" w:rsidR="63F16F88" w:rsidRPr="0056631D" w:rsidRDefault="63F16F88" w:rsidP="63F16F88">
      <w:pPr>
        <w:rPr>
          <w:i/>
          <w:iCs/>
          <w:lang w:val="cy-GB"/>
        </w:rPr>
      </w:pPr>
    </w:p>
    <w:p w14:paraId="66ED618E" w14:textId="4F3DE6FB" w:rsidR="0026161C" w:rsidRPr="0056631D" w:rsidRDefault="00460B25" w:rsidP="0026161C">
      <w:pPr>
        <w:pStyle w:val="Heading1"/>
        <w:rPr>
          <w:lang w:val="cy-GB"/>
        </w:rPr>
      </w:pPr>
      <w:r w:rsidRPr="0056631D">
        <w:rPr>
          <w:lang w:val="cy-GB"/>
        </w:rPr>
        <w:t xml:space="preserve">Adnoddau ar Ymgysylltu </w:t>
      </w:r>
      <w:r w:rsidRPr="0056631D">
        <w:rPr>
          <w:rFonts w:ascii="Calibri" w:hAnsi="Calibri" w:cs="Calibri"/>
          <w:lang w:val="cy-GB"/>
        </w:rPr>
        <w:t>â</w:t>
      </w:r>
      <w:r w:rsidRPr="0056631D">
        <w:rPr>
          <w:lang w:val="cy-GB"/>
        </w:rPr>
        <w:t xml:space="preserve"> Myfyrwyr</w:t>
      </w:r>
    </w:p>
    <w:tbl>
      <w:tblPr>
        <w:tblStyle w:val="TableGrid"/>
        <w:tblW w:w="0" w:type="auto"/>
        <w:tblLook w:val="04A0" w:firstRow="1" w:lastRow="0" w:firstColumn="1" w:lastColumn="0" w:noHBand="0" w:noVBand="1"/>
      </w:tblPr>
      <w:tblGrid>
        <w:gridCol w:w="4508"/>
        <w:gridCol w:w="4508"/>
      </w:tblGrid>
      <w:tr w:rsidR="00C27D37" w:rsidRPr="0056631D" w14:paraId="12EADEE8" w14:textId="77777777" w:rsidTr="00C27D37">
        <w:tc>
          <w:tcPr>
            <w:tcW w:w="4508" w:type="dxa"/>
          </w:tcPr>
          <w:p w14:paraId="0A37501D" w14:textId="77777777" w:rsidR="0047759F" w:rsidRPr="0056631D" w:rsidRDefault="0047759F" w:rsidP="0026161C">
            <w:pPr>
              <w:rPr>
                <w:lang w:val="cy-GB"/>
              </w:rPr>
            </w:pPr>
          </w:p>
          <w:p w14:paraId="6CF62147" w14:textId="7C18612C" w:rsidR="00C27D37" w:rsidRPr="0056631D" w:rsidRDefault="0026161C" w:rsidP="0026161C">
            <w:pPr>
              <w:rPr>
                <w:lang w:val="cy-GB"/>
              </w:rPr>
            </w:pPr>
            <w:r w:rsidRPr="0056631D">
              <w:rPr>
                <w:lang w:val="cy-GB"/>
              </w:rPr>
              <w:t xml:space="preserve">Blessinger, P. &amp; C. Wankel. Ed. 2013. </w:t>
            </w:r>
            <w:r w:rsidRPr="0056631D">
              <w:rPr>
                <w:i/>
                <w:lang w:val="cy-GB"/>
              </w:rPr>
              <w:t>Increasing Student Engag</w:t>
            </w:r>
            <w:r w:rsidR="0047759F" w:rsidRPr="0056631D">
              <w:rPr>
                <w:i/>
                <w:lang w:val="cy-GB"/>
              </w:rPr>
              <w:t>e</w:t>
            </w:r>
            <w:r w:rsidRPr="0056631D">
              <w:rPr>
                <w:i/>
                <w:lang w:val="cy-GB"/>
              </w:rPr>
              <w:t>ment and Retention in e-Learning Environments: Web 2.0 and Blended Learning Technologies</w:t>
            </w:r>
            <w:r w:rsidRPr="0056631D">
              <w:rPr>
                <w:lang w:val="cy-GB"/>
              </w:rPr>
              <w:t xml:space="preserve">. </w:t>
            </w:r>
            <w:r w:rsidR="00657251" w:rsidRPr="0056631D">
              <w:rPr>
                <w:lang w:val="cy-GB"/>
              </w:rPr>
              <w:t xml:space="preserve">Bradford: </w:t>
            </w:r>
            <w:r w:rsidRPr="0056631D">
              <w:rPr>
                <w:lang w:val="cy-GB"/>
              </w:rPr>
              <w:t>Emerald Publishing Limited.</w:t>
            </w:r>
            <w:r w:rsidR="006358F6" w:rsidRPr="0056631D">
              <w:rPr>
                <w:lang w:val="cy-GB"/>
              </w:rPr>
              <w:t xml:space="preserve"> Cyrchwyd ddiwethaf</w:t>
            </w:r>
            <w:r w:rsidR="002A3D39" w:rsidRPr="0056631D">
              <w:rPr>
                <w:lang w:val="cy-GB"/>
              </w:rPr>
              <w:t>: 18.10.2019.</w:t>
            </w:r>
            <w:r w:rsidRPr="0056631D">
              <w:rPr>
                <w:lang w:val="cy-GB"/>
              </w:rPr>
              <w:t xml:space="preserve"> </w:t>
            </w:r>
          </w:p>
          <w:p w14:paraId="5DAB6C7B" w14:textId="77777777" w:rsidR="0026161C" w:rsidRPr="0056631D" w:rsidRDefault="0026161C" w:rsidP="0026161C">
            <w:pPr>
              <w:rPr>
                <w:lang w:val="cy-GB"/>
              </w:rPr>
            </w:pPr>
          </w:p>
          <w:p w14:paraId="48FFF4E7" w14:textId="61BA5C5A" w:rsidR="0026161C" w:rsidRPr="0056631D" w:rsidRDefault="006358F6" w:rsidP="0026161C">
            <w:pPr>
              <w:rPr>
                <w:lang w:val="cy-GB"/>
              </w:rPr>
            </w:pPr>
            <w:r w:rsidRPr="0056631D">
              <w:rPr>
                <w:lang w:val="cy-GB"/>
              </w:rPr>
              <w:t>Yn enwedig</w:t>
            </w:r>
            <w:r w:rsidR="0026161C" w:rsidRPr="0056631D">
              <w:rPr>
                <w:lang w:val="cy-GB"/>
              </w:rPr>
              <w:t xml:space="preserve">: </w:t>
            </w:r>
          </w:p>
          <w:p w14:paraId="02EB378F" w14:textId="77777777" w:rsidR="0026161C" w:rsidRPr="0056631D" w:rsidRDefault="0026161C" w:rsidP="0026161C">
            <w:pPr>
              <w:rPr>
                <w:lang w:val="cy-GB"/>
              </w:rPr>
            </w:pPr>
          </w:p>
          <w:p w14:paraId="43F9D8F9" w14:textId="74C6158C" w:rsidR="0026161C" w:rsidRPr="0056631D" w:rsidRDefault="0047759F" w:rsidP="0047759F">
            <w:pPr>
              <w:ind w:left="720"/>
              <w:rPr>
                <w:lang w:val="cy-GB"/>
              </w:rPr>
            </w:pPr>
            <w:r w:rsidRPr="0056631D">
              <w:rPr>
                <w:lang w:val="cy-GB"/>
              </w:rPr>
              <w:t xml:space="preserve">Starr-Glass, D. 2013. ‘From Connectivity to Connected Learners: Transactional </w:t>
            </w:r>
            <w:r w:rsidR="006358F6" w:rsidRPr="0056631D">
              <w:rPr>
                <w:lang w:val="cy-GB"/>
              </w:rPr>
              <w:t>Distance and Social Presence. Tt</w:t>
            </w:r>
            <w:r w:rsidRPr="0056631D">
              <w:rPr>
                <w:lang w:val="cy-GB"/>
              </w:rPr>
              <w:t>. 113-143</w:t>
            </w:r>
          </w:p>
          <w:p w14:paraId="6A05A809" w14:textId="77777777" w:rsidR="00794CFA" w:rsidRPr="0056631D" w:rsidRDefault="00794CFA" w:rsidP="0047759F">
            <w:pPr>
              <w:ind w:left="720"/>
              <w:rPr>
                <w:lang w:val="cy-GB"/>
              </w:rPr>
            </w:pPr>
          </w:p>
          <w:p w14:paraId="5A39BBE3" w14:textId="77777777" w:rsidR="005221CC" w:rsidRPr="0056631D" w:rsidRDefault="005221CC" w:rsidP="0047759F">
            <w:pPr>
              <w:ind w:left="720"/>
              <w:rPr>
                <w:lang w:val="cy-GB"/>
              </w:rPr>
            </w:pPr>
          </w:p>
          <w:p w14:paraId="41C8F396" w14:textId="77777777" w:rsidR="00794CFA" w:rsidRPr="0056631D" w:rsidRDefault="00794CFA" w:rsidP="002A3D39">
            <w:pPr>
              <w:jc w:val="center"/>
              <w:rPr>
                <w:lang w:val="cy-GB"/>
              </w:rPr>
            </w:pPr>
            <w:r w:rsidRPr="0056631D">
              <w:rPr>
                <w:noProof/>
                <w:lang w:val="cy-GB" w:eastAsia="en-GB"/>
              </w:rPr>
              <w:drawing>
                <wp:inline distT="0" distB="0" distL="0" distR="0" wp14:anchorId="1EEFF3BA" wp14:editId="3D0BC8CA">
                  <wp:extent cx="2162803" cy="3228975"/>
                  <wp:effectExtent l="0" t="0" r="9525" b="0"/>
                  <wp:docPr id="1" name="Picture 1" descr="Screengrab of Increasing Stuednt Engagement and Retention in e-learning Environments: Web 2.0 and Blended Learning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9210" cy="3357977"/>
                          </a:xfrm>
                          <a:prstGeom prst="rect">
                            <a:avLst/>
                          </a:prstGeom>
                        </pic:spPr>
                      </pic:pic>
                    </a:graphicData>
                  </a:graphic>
                </wp:inline>
              </w:drawing>
            </w:r>
          </w:p>
        </w:tc>
        <w:tc>
          <w:tcPr>
            <w:tcW w:w="4508" w:type="dxa"/>
          </w:tcPr>
          <w:p w14:paraId="72A3D3EC" w14:textId="77777777" w:rsidR="0047759F" w:rsidRPr="0056631D" w:rsidRDefault="0047759F" w:rsidP="0047759F">
            <w:pPr>
              <w:rPr>
                <w:lang w:val="cy-GB"/>
              </w:rPr>
            </w:pPr>
          </w:p>
          <w:p w14:paraId="38541EE4" w14:textId="24F74812" w:rsidR="00894DA9" w:rsidRPr="0056631D" w:rsidRDefault="003B715F" w:rsidP="0047759F">
            <w:pPr>
              <w:rPr>
                <w:lang w:val="cy-GB"/>
              </w:rPr>
            </w:pPr>
            <w:r w:rsidRPr="0056631D">
              <w:rPr>
                <w:lang w:val="cy-GB"/>
              </w:rPr>
              <w:t>Mae’r cyhoeddiad hwn yn</w:t>
            </w:r>
            <w:r w:rsidR="002101E7" w:rsidRPr="0056631D">
              <w:rPr>
                <w:lang w:val="cy-GB"/>
              </w:rPr>
              <w:t xml:space="preserve"> ystyried sut y gellir defnyddio</w:t>
            </w:r>
            <w:r w:rsidRPr="0056631D">
              <w:rPr>
                <w:lang w:val="cy-GB"/>
              </w:rPr>
              <w:t xml:space="preserve"> technoleg i ymgysylltu </w:t>
            </w:r>
            <w:r w:rsidRPr="0056631D">
              <w:rPr>
                <w:rFonts w:cstheme="minorHAnsi"/>
                <w:lang w:val="cy-GB"/>
              </w:rPr>
              <w:t>â</w:t>
            </w:r>
            <w:r w:rsidRPr="0056631D">
              <w:rPr>
                <w:lang w:val="cy-GB"/>
              </w:rPr>
              <w:t xml:space="preserve"> myfyrwyr. Mae’r casgliad golygedig yn darparu llawer o gyfarwyddyd ynghylch technolegau dysgu mewn addysgu.</w:t>
            </w:r>
          </w:p>
          <w:p w14:paraId="0D0B940D" w14:textId="77777777" w:rsidR="00894DA9" w:rsidRPr="0056631D" w:rsidRDefault="00894DA9" w:rsidP="0047759F">
            <w:pPr>
              <w:rPr>
                <w:lang w:val="cy-GB"/>
              </w:rPr>
            </w:pPr>
          </w:p>
          <w:p w14:paraId="0045DA69" w14:textId="1594A930" w:rsidR="00894DA9" w:rsidRPr="0056631D" w:rsidRDefault="00412D74" w:rsidP="0047759F">
            <w:pPr>
              <w:rPr>
                <w:lang w:val="cy-GB"/>
              </w:rPr>
            </w:pPr>
            <w:r w:rsidRPr="0056631D">
              <w:rPr>
                <w:lang w:val="cy-GB"/>
              </w:rPr>
              <w:t>Fel y noda’r golygyddion, ‘ni all unrhyw dechnoleg, newydd neu soffistigedigrwydd technegol yn unig warantu bod dysgwyr yn ymgysylltu. Dylid defnyddio’r technolegau hyn mewn ffordd bwrpasol ac integredig ac o fewn i fframwaith damcaniaethol priodol sy’n berthnasol i’r cyd-destun dysgu ac addysgu’</w:t>
            </w:r>
            <w:r w:rsidR="00894DA9" w:rsidRPr="0056631D">
              <w:rPr>
                <w:lang w:val="cy-GB"/>
              </w:rPr>
              <w:t xml:space="preserve"> (2013: 5-6). </w:t>
            </w:r>
          </w:p>
          <w:p w14:paraId="0E27B00A" w14:textId="77777777" w:rsidR="00894DA9" w:rsidRPr="0056631D" w:rsidRDefault="00894DA9" w:rsidP="0047759F">
            <w:pPr>
              <w:rPr>
                <w:lang w:val="cy-GB"/>
              </w:rPr>
            </w:pPr>
          </w:p>
          <w:p w14:paraId="7E110564" w14:textId="0A26AB5C" w:rsidR="0047759F" w:rsidRPr="0056631D" w:rsidRDefault="00DC5F6D" w:rsidP="0047759F">
            <w:pPr>
              <w:rPr>
                <w:lang w:val="cy-GB"/>
              </w:rPr>
            </w:pPr>
            <w:r w:rsidRPr="0056631D">
              <w:rPr>
                <w:lang w:val="cy-GB"/>
              </w:rPr>
              <w:t>Un bennod i’w nodi yw Starr-Glass (Tt</w:t>
            </w:r>
            <w:r w:rsidR="00894DA9" w:rsidRPr="0056631D">
              <w:rPr>
                <w:lang w:val="cy-GB"/>
              </w:rPr>
              <w:t xml:space="preserve">. 113-143) </w:t>
            </w:r>
            <w:r w:rsidRPr="0056631D">
              <w:rPr>
                <w:lang w:val="cy-GB"/>
              </w:rPr>
              <w:t xml:space="preserve">sy’n pwysleisio meithrin cymuned ddysgu a chynnig cyfleoedd i gydweithredu fel ffordd o ymgysylltu </w:t>
            </w:r>
            <w:r w:rsidRPr="0056631D">
              <w:rPr>
                <w:rFonts w:cstheme="minorHAnsi"/>
                <w:lang w:val="cy-GB"/>
              </w:rPr>
              <w:t>â</w:t>
            </w:r>
            <w:r w:rsidRPr="0056631D">
              <w:rPr>
                <w:lang w:val="cy-GB"/>
              </w:rPr>
              <w:t xml:space="preserve"> myfyrwyr sy’n astudio o bell.</w:t>
            </w:r>
            <w:r w:rsidR="00894DA9" w:rsidRPr="0056631D">
              <w:rPr>
                <w:lang w:val="cy-GB"/>
              </w:rPr>
              <w:t xml:space="preserve"> </w:t>
            </w:r>
          </w:p>
          <w:p w14:paraId="60061E4C" w14:textId="77777777" w:rsidR="0047759F" w:rsidRPr="0056631D" w:rsidRDefault="0047759F" w:rsidP="0047759F">
            <w:pPr>
              <w:rPr>
                <w:lang w:val="cy-GB"/>
              </w:rPr>
            </w:pPr>
          </w:p>
          <w:p w14:paraId="752A697F" w14:textId="32E8AF15" w:rsidR="00C27D37" w:rsidRPr="0056631D" w:rsidRDefault="00DC5F6D" w:rsidP="0047759F">
            <w:pPr>
              <w:rPr>
                <w:lang w:val="cy-GB"/>
              </w:rPr>
            </w:pPr>
            <w:r w:rsidRPr="0056631D">
              <w:rPr>
                <w:lang w:val="cy-GB"/>
              </w:rPr>
              <w:t xml:space="preserve">Mae </w:t>
            </w:r>
            <w:r w:rsidR="0047759F" w:rsidRPr="0056631D">
              <w:rPr>
                <w:lang w:val="cy-GB"/>
              </w:rPr>
              <w:t xml:space="preserve">Starr-Glass </w:t>
            </w:r>
            <w:r w:rsidRPr="0056631D">
              <w:rPr>
                <w:lang w:val="cy-GB"/>
              </w:rPr>
              <w:t>yn defnyddio damcaniaeth Michael Moore o wahaniaeth rhyngweithredol i ystyried goblygiadau gwahanu’</w:t>
            </w:r>
            <w:r w:rsidR="0069563B" w:rsidRPr="0056631D">
              <w:rPr>
                <w:lang w:val="cy-GB"/>
              </w:rPr>
              <w:t>r dysgwr oddi wrth ei g</w:t>
            </w:r>
            <w:r w:rsidRPr="0056631D">
              <w:rPr>
                <w:lang w:val="cy-GB"/>
              </w:rPr>
              <w:t>ymheiriaid a</w:t>
            </w:r>
            <w:r w:rsidR="0069563B" w:rsidRPr="0056631D">
              <w:rPr>
                <w:lang w:val="cy-GB"/>
              </w:rPr>
              <w:t>’i</w:t>
            </w:r>
            <w:r w:rsidRPr="0056631D">
              <w:rPr>
                <w:lang w:val="cy-GB"/>
              </w:rPr>
              <w:t xml:space="preserve"> hyfforddwyr. Mae’r awdur yn annog dysgwyr i ddibynnu ar fwy na thechnoleg yn unig. </w:t>
            </w:r>
            <w:r w:rsidR="00BA765E" w:rsidRPr="0056631D">
              <w:rPr>
                <w:lang w:val="cy-GB"/>
              </w:rPr>
              <w:t xml:space="preserve">Ystyrir Dysgu o Bell hefyd yn ffurf gynnar ar weithgareddau sy’n canolbwyntio ar y dysgwr. </w:t>
            </w:r>
          </w:p>
          <w:p w14:paraId="44EAFD9C" w14:textId="77777777" w:rsidR="0047759F" w:rsidRPr="0056631D" w:rsidRDefault="0047759F" w:rsidP="0047759F">
            <w:pPr>
              <w:rPr>
                <w:lang w:val="cy-GB"/>
              </w:rPr>
            </w:pPr>
          </w:p>
          <w:p w14:paraId="55A079A6" w14:textId="6B7FDC1F" w:rsidR="0047759F" w:rsidRPr="0056631D" w:rsidRDefault="0069563B" w:rsidP="0047759F">
            <w:pPr>
              <w:rPr>
                <w:lang w:val="cy-GB"/>
              </w:rPr>
            </w:pPr>
            <w:r w:rsidRPr="0056631D">
              <w:rPr>
                <w:lang w:val="cy-GB"/>
              </w:rPr>
              <w:t>Mae Starr-Glass yn dadlau ein bod bellach yn Bumed Genhedlaeth o Ddysgu o Bell (2005- ) – Y model dysgu hyblyg deallus [</w:t>
            </w:r>
            <w:r w:rsidR="0047759F" w:rsidRPr="0056631D">
              <w:rPr>
                <w:lang w:val="cy-GB"/>
              </w:rPr>
              <w:t>The intelligent flexible learning model (2013: 118)</w:t>
            </w:r>
            <w:r w:rsidRPr="0056631D">
              <w:rPr>
                <w:lang w:val="cy-GB"/>
              </w:rPr>
              <w:t>]</w:t>
            </w:r>
            <w:r w:rsidR="0047759F" w:rsidRPr="0056631D">
              <w:rPr>
                <w:lang w:val="cy-GB"/>
              </w:rPr>
              <w:t xml:space="preserve">. </w:t>
            </w:r>
            <w:r w:rsidR="002143B1" w:rsidRPr="0056631D">
              <w:rPr>
                <w:lang w:val="cy-GB"/>
              </w:rPr>
              <w:t>Nodweddir hyn drwy fynediad at amgylcheddau technoleg lle mae ‘dysgwyr yn cael eu hystyried yn wybodus, yn hunanhyderus, ac yn gallu cael mynediad at rwydweithiau anffurfiol’ (ibid.). Archwilir hefyd gyfleoedd ar gyfer creu cymunedau ymhlith cymheiriaid.</w:t>
            </w:r>
            <w:r w:rsidR="0047759F" w:rsidRPr="0056631D">
              <w:rPr>
                <w:lang w:val="cy-GB"/>
              </w:rPr>
              <w:t xml:space="preserve"> </w:t>
            </w:r>
          </w:p>
          <w:p w14:paraId="4B94D5A5" w14:textId="77777777" w:rsidR="00894DA9" w:rsidRPr="0056631D" w:rsidRDefault="00894DA9" w:rsidP="0047759F">
            <w:pPr>
              <w:rPr>
                <w:lang w:val="cy-GB"/>
              </w:rPr>
            </w:pPr>
          </w:p>
        </w:tc>
      </w:tr>
      <w:tr w:rsidR="00C27D37" w:rsidRPr="0056631D" w14:paraId="0F0A1D85" w14:textId="77777777" w:rsidTr="00C27D37">
        <w:tc>
          <w:tcPr>
            <w:tcW w:w="4508" w:type="dxa"/>
          </w:tcPr>
          <w:p w14:paraId="749A601F" w14:textId="27215257" w:rsidR="00C27D37" w:rsidRPr="0056631D" w:rsidRDefault="002A3D39" w:rsidP="00C27D37">
            <w:pPr>
              <w:rPr>
                <w:lang w:val="cy-GB"/>
              </w:rPr>
            </w:pPr>
            <w:r w:rsidRPr="0056631D">
              <w:rPr>
                <w:lang w:val="cy-GB"/>
              </w:rPr>
              <w:t xml:space="preserve">Krull, G. &amp; J. M Duart. 2019. ‘Supporting seamless learners: exploring patterns of </w:t>
            </w:r>
            <w:r w:rsidRPr="0056631D">
              <w:rPr>
                <w:lang w:val="cy-GB"/>
              </w:rPr>
              <w:lastRenderedPageBreak/>
              <w:t xml:space="preserve">multiple device use in an open and distance learning context’. </w:t>
            </w:r>
            <w:r w:rsidRPr="0056631D">
              <w:rPr>
                <w:i/>
                <w:lang w:val="cy-GB"/>
              </w:rPr>
              <w:t>Research in Learning Technology</w:t>
            </w:r>
            <w:r w:rsidRPr="0056631D">
              <w:rPr>
                <w:lang w:val="cy-GB"/>
              </w:rPr>
              <w:t xml:space="preserve">. 2017. </w:t>
            </w:r>
            <w:hyperlink r:id="rId12" w:history="1">
              <w:r w:rsidRPr="0056631D">
                <w:rPr>
                  <w:rStyle w:val="Hyperlink"/>
                  <w:lang w:val="cy-GB"/>
                </w:rPr>
                <w:t>http://dx.doi.org/10.25304/rlt.v27.2215</w:t>
              </w:r>
            </w:hyperlink>
            <w:r w:rsidR="006358F6" w:rsidRPr="0056631D">
              <w:rPr>
                <w:lang w:val="cy-GB"/>
              </w:rPr>
              <w:t>. Tt. 1-13. Cyrchwyd ddiwethaf</w:t>
            </w:r>
            <w:r w:rsidRPr="0056631D">
              <w:rPr>
                <w:lang w:val="cy-GB"/>
              </w:rPr>
              <w:t xml:space="preserve">: 18.10.2019.  </w:t>
            </w:r>
          </w:p>
        </w:tc>
        <w:tc>
          <w:tcPr>
            <w:tcW w:w="4508" w:type="dxa"/>
          </w:tcPr>
          <w:p w14:paraId="6C192CCD" w14:textId="37CAD7B9" w:rsidR="00C27D37" w:rsidRPr="0056631D" w:rsidRDefault="00F66B43" w:rsidP="003543B5">
            <w:pPr>
              <w:rPr>
                <w:lang w:val="cy-GB"/>
              </w:rPr>
            </w:pPr>
            <w:r w:rsidRPr="0056631D">
              <w:rPr>
                <w:lang w:val="cy-GB"/>
              </w:rPr>
              <w:lastRenderedPageBreak/>
              <w:t xml:space="preserve">Meddyliwn yn aml am gynnwys cyrsiau Dysgu o Bell ond nid ydym o reidrwydd yn meddwl am </w:t>
            </w:r>
            <w:r w:rsidRPr="0056631D">
              <w:rPr>
                <w:i/>
                <w:lang w:val="cy-GB"/>
              </w:rPr>
              <w:lastRenderedPageBreak/>
              <w:t>sut</w:t>
            </w:r>
            <w:r w:rsidRPr="0056631D">
              <w:rPr>
                <w:lang w:val="cy-GB"/>
              </w:rPr>
              <w:t xml:space="preserve"> mae ein </w:t>
            </w:r>
            <w:r w:rsidR="007A7C30" w:rsidRPr="0056631D">
              <w:rPr>
                <w:lang w:val="cy-GB"/>
              </w:rPr>
              <w:t>myfyrwyr yn cael gafael ar eu cynnwys.</w:t>
            </w:r>
            <w:r w:rsidR="002A3D39" w:rsidRPr="0056631D">
              <w:rPr>
                <w:lang w:val="cy-GB"/>
              </w:rPr>
              <w:t xml:space="preserve"> </w:t>
            </w:r>
            <w:r w:rsidR="000B4A95" w:rsidRPr="0056631D">
              <w:rPr>
                <w:lang w:val="cy-GB"/>
              </w:rPr>
              <w:t xml:space="preserve">Yn yr erthygl hon, mae Greig Krull a Joseph Duart yn edrych ar sut </w:t>
            </w:r>
            <w:r w:rsidR="007A7C30" w:rsidRPr="0056631D">
              <w:rPr>
                <w:lang w:val="cy-GB"/>
              </w:rPr>
              <w:t>mae myfyrwyr yn defnyddio m</w:t>
            </w:r>
            <w:r w:rsidR="000B4A95" w:rsidRPr="0056631D">
              <w:rPr>
                <w:lang w:val="cy-GB"/>
              </w:rPr>
              <w:t>wy nag un dyfais. Defnyddiwyd cyfweliadau rhannol-strwythuredig i ddadansoddi eu canfyddiadau.</w:t>
            </w:r>
          </w:p>
          <w:p w14:paraId="3DEEC669" w14:textId="77777777" w:rsidR="003543B5" w:rsidRPr="0056631D" w:rsidRDefault="003543B5" w:rsidP="003543B5">
            <w:pPr>
              <w:rPr>
                <w:lang w:val="cy-GB"/>
              </w:rPr>
            </w:pPr>
          </w:p>
          <w:p w14:paraId="0AC8D8D0" w14:textId="22376BA7" w:rsidR="003543B5" w:rsidRPr="0056631D" w:rsidRDefault="000B4A95" w:rsidP="003543B5">
            <w:pPr>
              <w:rPr>
                <w:lang w:val="cy-GB"/>
              </w:rPr>
            </w:pPr>
            <w:r w:rsidRPr="0056631D">
              <w:rPr>
                <w:lang w:val="cy-GB"/>
              </w:rPr>
              <w:t xml:space="preserve">Awgryma eu canfyddiadau fod myfyrwyr sy’n astudio trwy ddysgu o bell yn tueddu i weithio mewn sawl lleoliad (preifat a chyhoeddus) </w:t>
            </w:r>
            <w:r w:rsidR="007A7C30" w:rsidRPr="0056631D">
              <w:rPr>
                <w:lang w:val="cy-GB"/>
              </w:rPr>
              <w:t>‘sy’n dangos potensial dysgu di-dor’ (4)</w:t>
            </w:r>
            <w:r w:rsidR="00AB254E" w:rsidRPr="0056631D">
              <w:rPr>
                <w:lang w:val="cy-GB"/>
              </w:rPr>
              <w:t xml:space="preserve">. </w:t>
            </w:r>
          </w:p>
          <w:p w14:paraId="3656B9AB" w14:textId="77777777" w:rsidR="00AB254E" w:rsidRPr="0056631D" w:rsidRDefault="00AB254E" w:rsidP="003543B5">
            <w:pPr>
              <w:rPr>
                <w:lang w:val="cy-GB"/>
              </w:rPr>
            </w:pPr>
          </w:p>
          <w:p w14:paraId="5B1C14FA" w14:textId="77FDBEAC" w:rsidR="00AB254E" w:rsidRPr="0056631D" w:rsidRDefault="000B4A95" w:rsidP="00AB254E">
            <w:pPr>
              <w:rPr>
                <w:lang w:val="cy-GB"/>
              </w:rPr>
            </w:pPr>
            <w:r w:rsidRPr="0056631D">
              <w:rPr>
                <w:lang w:val="cy-GB"/>
              </w:rPr>
              <w:t>Canfu’r astudiaeth hefyd fod y myfyrwyr yn gallu defnyddio rhwng 2 a 5 dyfais ddigidol ar gyfer dysgu. Ar gyfartaledd, roedd myfyrwyr yn defnyddio 3 dyfais ar gyfer dysgu (4).</w:t>
            </w:r>
          </w:p>
          <w:p w14:paraId="45FB0818" w14:textId="77777777" w:rsidR="00AB254E" w:rsidRPr="0056631D" w:rsidRDefault="00AB254E" w:rsidP="00AB254E">
            <w:pPr>
              <w:rPr>
                <w:lang w:val="cy-GB"/>
              </w:rPr>
            </w:pPr>
          </w:p>
          <w:p w14:paraId="59ECF164" w14:textId="258A59A5" w:rsidR="00AB254E" w:rsidRPr="0056631D" w:rsidRDefault="007A7C30" w:rsidP="00AB254E">
            <w:pPr>
              <w:rPr>
                <w:lang w:val="cy-GB"/>
              </w:rPr>
            </w:pPr>
            <w:r w:rsidRPr="0056631D">
              <w:rPr>
                <w:lang w:val="cy-GB"/>
              </w:rPr>
              <w:t>Fel y mae’r awduron yn dangos, ‘un maes ar gyfer gwaith ymchwil yn y dyfodol yw sut gall addysgwyr gefnogi’n well eu myfyrwyr sy’n defnyddio mwy nag un dyfais a sut i leihau toriadau posib yn eu profiadau dysgu’</w:t>
            </w:r>
            <w:r w:rsidR="00AB254E" w:rsidRPr="0056631D">
              <w:rPr>
                <w:lang w:val="cy-GB"/>
              </w:rPr>
              <w:t xml:space="preserve"> (10).</w:t>
            </w:r>
          </w:p>
          <w:p w14:paraId="049F31CB" w14:textId="77777777" w:rsidR="00AB254E" w:rsidRPr="0056631D" w:rsidRDefault="00AB254E" w:rsidP="00AB254E">
            <w:pPr>
              <w:rPr>
                <w:lang w:val="cy-GB"/>
              </w:rPr>
            </w:pPr>
          </w:p>
        </w:tc>
      </w:tr>
      <w:tr w:rsidR="00C27D37" w:rsidRPr="0056631D" w14:paraId="38923BA7" w14:textId="77777777" w:rsidTr="00C27D37">
        <w:tc>
          <w:tcPr>
            <w:tcW w:w="4508" w:type="dxa"/>
          </w:tcPr>
          <w:p w14:paraId="78F2FAC1" w14:textId="5B4DFBB8" w:rsidR="00C27D37" w:rsidRPr="0056631D" w:rsidRDefault="00F23C66" w:rsidP="00C27D37">
            <w:pPr>
              <w:rPr>
                <w:lang w:val="cy-GB"/>
              </w:rPr>
            </w:pPr>
            <w:r w:rsidRPr="0056631D">
              <w:rPr>
                <w:lang w:val="cy-GB"/>
              </w:rPr>
              <w:lastRenderedPageBreak/>
              <w:t xml:space="preserve">Meyer, K. 2014. </w:t>
            </w:r>
            <w:r w:rsidRPr="0056631D">
              <w:rPr>
                <w:i/>
                <w:lang w:val="cy-GB"/>
              </w:rPr>
              <w:t>Student Engagement Online: What works and why</w:t>
            </w:r>
            <w:r w:rsidRPr="0056631D">
              <w:rPr>
                <w:lang w:val="cy-GB"/>
              </w:rPr>
              <w:t xml:space="preserve">. Hoboken, New Jersey: </w:t>
            </w:r>
            <w:r w:rsidR="00C945D9" w:rsidRPr="0056631D">
              <w:rPr>
                <w:lang w:val="cy-GB"/>
              </w:rPr>
              <w:t>John Wiley &amp; Sons. Cyrchwyd ddiwethaf</w:t>
            </w:r>
            <w:r w:rsidRPr="0056631D">
              <w:rPr>
                <w:lang w:val="cy-GB"/>
              </w:rPr>
              <w:t xml:space="preserve"> 21.10.2019. </w:t>
            </w:r>
          </w:p>
          <w:p w14:paraId="53128261" w14:textId="77777777" w:rsidR="005A7FF7" w:rsidRPr="0056631D" w:rsidRDefault="005A7FF7" w:rsidP="00C27D37">
            <w:pPr>
              <w:rPr>
                <w:lang w:val="cy-GB"/>
              </w:rPr>
            </w:pPr>
          </w:p>
          <w:p w14:paraId="62486C05" w14:textId="77777777" w:rsidR="005A7FF7" w:rsidRPr="0056631D" w:rsidRDefault="00276190" w:rsidP="00276190">
            <w:pPr>
              <w:jc w:val="center"/>
              <w:rPr>
                <w:lang w:val="cy-GB"/>
              </w:rPr>
            </w:pPr>
            <w:r w:rsidRPr="0056631D">
              <w:rPr>
                <w:noProof/>
                <w:lang w:val="cy-GB" w:eastAsia="en-GB"/>
              </w:rPr>
              <w:drawing>
                <wp:inline distT="0" distB="0" distL="0" distR="0" wp14:anchorId="390255C7" wp14:editId="74C08F0B">
                  <wp:extent cx="2130900" cy="3186752"/>
                  <wp:effectExtent l="0" t="0" r="3175" b="0"/>
                  <wp:docPr id="2" name="Picture 2" descr="Screen grab of Student Engagemnet Outline: what Works and Why by Katrina A. Me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1465" cy="3202552"/>
                          </a:xfrm>
                          <a:prstGeom prst="rect">
                            <a:avLst/>
                          </a:prstGeom>
                        </pic:spPr>
                      </pic:pic>
                    </a:graphicData>
                  </a:graphic>
                </wp:inline>
              </w:drawing>
            </w:r>
          </w:p>
        </w:tc>
        <w:tc>
          <w:tcPr>
            <w:tcW w:w="4508" w:type="dxa"/>
          </w:tcPr>
          <w:p w14:paraId="4DDB9A7C" w14:textId="702EAF64" w:rsidR="00C27D37" w:rsidRPr="0056631D" w:rsidRDefault="00C945D9" w:rsidP="00C27D37">
            <w:pPr>
              <w:rPr>
                <w:lang w:val="cy-GB"/>
              </w:rPr>
            </w:pPr>
            <w:r w:rsidRPr="0056631D">
              <w:rPr>
                <w:lang w:val="cy-GB"/>
              </w:rPr>
              <w:t>Mae Meyer yn archwilio dysgu ar lein yng nghyd-destun cadw myfyrwyr yn Addysg Uwch. Mae’n debyg mai’r adran fwyaf diddorol fydd yr  Ddysgu drwy Brofiad a Dysgu Gweithredol (t. 28)</w:t>
            </w:r>
            <w:r w:rsidR="00D62C5E" w:rsidRPr="0056631D">
              <w:rPr>
                <w:lang w:val="cy-GB"/>
              </w:rPr>
              <w:t xml:space="preserve">. </w:t>
            </w:r>
          </w:p>
          <w:p w14:paraId="4101652C" w14:textId="77777777" w:rsidR="005A7FF7" w:rsidRPr="0056631D" w:rsidRDefault="005A7FF7" w:rsidP="00C27D37">
            <w:pPr>
              <w:rPr>
                <w:lang w:val="cy-GB"/>
              </w:rPr>
            </w:pPr>
          </w:p>
          <w:p w14:paraId="7E0DC6CB" w14:textId="7838FD7D" w:rsidR="005A7FF7" w:rsidRPr="0056631D" w:rsidRDefault="00C945D9" w:rsidP="00C27D37">
            <w:pPr>
              <w:rPr>
                <w:lang w:val="cy-GB"/>
              </w:rPr>
            </w:pPr>
            <w:r w:rsidRPr="0056631D">
              <w:rPr>
                <w:lang w:val="cy-GB"/>
              </w:rPr>
              <w:t>Mae Meyer hefyd yn trafod pwysigrwydd meithrin cymuned ar-lein ymhlith dysgwyr er mwyn annog ymgysylltu ag adnoddau.</w:t>
            </w:r>
          </w:p>
          <w:p w14:paraId="4B99056E" w14:textId="77777777" w:rsidR="00E82236" w:rsidRPr="0056631D" w:rsidRDefault="00E82236" w:rsidP="00C27D37">
            <w:pPr>
              <w:rPr>
                <w:lang w:val="cy-GB"/>
              </w:rPr>
            </w:pPr>
          </w:p>
          <w:p w14:paraId="3AE375AE" w14:textId="5D3D4312" w:rsidR="00E82236" w:rsidRPr="0056631D" w:rsidRDefault="00C945D9" w:rsidP="00C27D37">
            <w:pPr>
              <w:rPr>
                <w:lang w:val="cy-GB"/>
              </w:rPr>
            </w:pPr>
            <w:r w:rsidRPr="0056631D">
              <w:rPr>
                <w:lang w:val="cy-GB"/>
              </w:rPr>
              <w:t xml:space="preserve">Mae’r monograff yn benthyca’r Arolwg Cenedlaethol o Ymgysylltu </w:t>
            </w:r>
            <w:r w:rsidRPr="0056631D">
              <w:rPr>
                <w:rFonts w:cstheme="minorHAnsi"/>
                <w:lang w:val="cy-GB"/>
              </w:rPr>
              <w:t>â</w:t>
            </w:r>
            <w:r w:rsidRPr="0056631D">
              <w:rPr>
                <w:lang w:val="cy-GB"/>
              </w:rPr>
              <w:t xml:space="preserve"> Myfyrwyr (NSSE) er mwyn ystyried sut gallech ennyn diddordeb myfyrwyr</w:t>
            </w:r>
            <w:r w:rsidR="005C3E23" w:rsidRPr="0056631D">
              <w:rPr>
                <w:lang w:val="cy-GB"/>
              </w:rPr>
              <w:t xml:space="preserve"> wrth ddysgu ar lein.</w:t>
            </w:r>
          </w:p>
          <w:p w14:paraId="1299C43A" w14:textId="77777777" w:rsidR="00E82236" w:rsidRPr="0056631D" w:rsidRDefault="00E82236" w:rsidP="00C27D37">
            <w:pPr>
              <w:rPr>
                <w:lang w:val="cy-GB"/>
              </w:rPr>
            </w:pPr>
          </w:p>
          <w:p w14:paraId="1DB49315" w14:textId="38A0A972" w:rsidR="00276190" w:rsidRPr="0056631D" w:rsidRDefault="005C3E23" w:rsidP="00C27D37">
            <w:pPr>
              <w:rPr>
                <w:lang w:val="cy-GB"/>
              </w:rPr>
            </w:pPr>
            <w:r w:rsidRPr="0056631D">
              <w:rPr>
                <w:lang w:val="cy-GB"/>
              </w:rPr>
              <w:t>Mae’n cynnwys</w:t>
            </w:r>
            <w:r w:rsidR="00276190" w:rsidRPr="0056631D">
              <w:rPr>
                <w:lang w:val="cy-GB"/>
              </w:rPr>
              <w:t>:</w:t>
            </w:r>
          </w:p>
          <w:p w14:paraId="4DDBEF00" w14:textId="77777777" w:rsidR="00276190" w:rsidRPr="0056631D" w:rsidRDefault="00276190" w:rsidP="00C27D37">
            <w:pPr>
              <w:rPr>
                <w:lang w:val="cy-GB"/>
              </w:rPr>
            </w:pPr>
          </w:p>
          <w:p w14:paraId="26C85125" w14:textId="12B37461" w:rsidR="00276190" w:rsidRPr="0056631D" w:rsidRDefault="00C945D9" w:rsidP="00276190">
            <w:pPr>
              <w:pStyle w:val="ListParagraph"/>
              <w:numPr>
                <w:ilvl w:val="0"/>
                <w:numId w:val="1"/>
              </w:numPr>
              <w:rPr>
                <w:lang w:val="cy-GB"/>
              </w:rPr>
            </w:pPr>
            <w:r w:rsidRPr="0056631D">
              <w:rPr>
                <w:lang w:val="cy-GB"/>
              </w:rPr>
              <w:t>Lefel yr her academaidd</w:t>
            </w:r>
          </w:p>
          <w:p w14:paraId="48FEEFF7" w14:textId="48F5DF5F" w:rsidR="00276190" w:rsidRPr="0056631D" w:rsidRDefault="00C945D9" w:rsidP="00276190">
            <w:pPr>
              <w:pStyle w:val="ListParagraph"/>
              <w:numPr>
                <w:ilvl w:val="0"/>
                <w:numId w:val="1"/>
              </w:numPr>
              <w:rPr>
                <w:lang w:val="cy-GB"/>
              </w:rPr>
            </w:pPr>
            <w:r w:rsidRPr="0056631D">
              <w:rPr>
                <w:lang w:val="cy-GB"/>
              </w:rPr>
              <w:t>Dysgu gweithredol a chydweithredol</w:t>
            </w:r>
          </w:p>
          <w:p w14:paraId="35FA5964" w14:textId="5DAD2134" w:rsidR="00276190" w:rsidRPr="0056631D" w:rsidRDefault="00C945D9" w:rsidP="00276190">
            <w:pPr>
              <w:pStyle w:val="ListParagraph"/>
              <w:numPr>
                <w:ilvl w:val="0"/>
                <w:numId w:val="1"/>
              </w:numPr>
              <w:rPr>
                <w:lang w:val="cy-GB"/>
              </w:rPr>
            </w:pPr>
            <w:r w:rsidRPr="0056631D">
              <w:rPr>
                <w:lang w:val="cy-GB"/>
              </w:rPr>
              <w:t>Rhyngweithio rhwng myfyrwyr a’r gyfadran</w:t>
            </w:r>
          </w:p>
          <w:p w14:paraId="180DD767" w14:textId="1EC9C981" w:rsidR="00276190" w:rsidRPr="0056631D" w:rsidRDefault="00C945D9" w:rsidP="00276190">
            <w:pPr>
              <w:pStyle w:val="ListParagraph"/>
              <w:numPr>
                <w:ilvl w:val="0"/>
                <w:numId w:val="1"/>
              </w:numPr>
              <w:rPr>
                <w:lang w:val="cy-GB"/>
              </w:rPr>
            </w:pPr>
            <w:r w:rsidRPr="0056631D">
              <w:rPr>
                <w:lang w:val="cy-GB"/>
              </w:rPr>
              <w:t>Cyfoethogi’r profiad addysgol</w:t>
            </w:r>
          </w:p>
          <w:p w14:paraId="1BA687C5" w14:textId="57CB7F88" w:rsidR="00276190" w:rsidRPr="0056631D" w:rsidRDefault="00C945D9" w:rsidP="00276190">
            <w:pPr>
              <w:pStyle w:val="ListParagraph"/>
              <w:numPr>
                <w:ilvl w:val="0"/>
                <w:numId w:val="1"/>
              </w:numPr>
              <w:rPr>
                <w:lang w:val="cy-GB"/>
              </w:rPr>
            </w:pPr>
            <w:r w:rsidRPr="0056631D">
              <w:rPr>
                <w:lang w:val="cy-GB"/>
              </w:rPr>
              <w:t>Amgylchedd campws (ar-lein) cefnogol</w:t>
            </w:r>
          </w:p>
          <w:p w14:paraId="4EA638F1" w14:textId="77777777" w:rsidR="00E82236" w:rsidRPr="0056631D" w:rsidRDefault="00276190" w:rsidP="00276190">
            <w:pPr>
              <w:jc w:val="right"/>
              <w:rPr>
                <w:lang w:val="cy-GB"/>
              </w:rPr>
            </w:pPr>
            <w:r w:rsidRPr="0056631D">
              <w:rPr>
                <w:lang w:val="cy-GB"/>
              </w:rPr>
              <w:t>7-8</w:t>
            </w:r>
          </w:p>
          <w:p w14:paraId="3461D779" w14:textId="77777777" w:rsidR="00E82236" w:rsidRPr="0056631D" w:rsidRDefault="00E82236" w:rsidP="00C27D37">
            <w:pPr>
              <w:rPr>
                <w:lang w:val="cy-GB"/>
              </w:rPr>
            </w:pPr>
          </w:p>
        </w:tc>
      </w:tr>
    </w:tbl>
    <w:p w14:paraId="5997CC1D" w14:textId="22FF45F3" w:rsidR="0026161C" w:rsidRPr="0056631D" w:rsidRDefault="0026161C" w:rsidP="00033CCF">
      <w:pPr>
        <w:rPr>
          <w:lang w:val="cy-GB"/>
        </w:rPr>
      </w:pPr>
    </w:p>
    <w:sectPr w:rsidR="0026161C" w:rsidRPr="00566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E74C3"/>
    <w:multiLevelType w:val="hybridMultilevel"/>
    <w:tmpl w:val="2B469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37"/>
    <w:rsid w:val="00033CCF"/>
    <w:rsid w:val="0008697A"/>
    <w:rsid w:val="000B4A95"/>
    <w:rsid w:val="00114379"/>
    <w:rsid w:val="002101E7"/>
    <w:rsid w:val="00211A4C"/>
    <w:rsid w:val="002143B1"/>
    <w:rsid w:val="00223638"/>
    <w:rsid w:val="0026161C"/>
    <w:rsid w:val="00276190"/>
    <w:rsid w:val="00295F68"/>
    <w:rsid w:val="002A3D39"/>
    <w:rsid w:val="002A457B"/>
    <w:rsid w:val="002C1782"/>
    <w:rsid w:val="002E3221"/>
    <w:rsid w:val="003409EE"/>
    <w:rsid w:val="003543B5"/>
    <w:rsid w:val="003B715F"/>
    <w:rsid w:val="00412D74"/>
    <w:rsid w:val="00460B25"/>
    <w:rsid w:val="00472D9F"/>
    <w:rsid w:val="0047759F"/>
    <w:rsid w:val="00492B82"/>
    <w:rsid w:val="0052038F"/>
    <w:rsid w:val="005221CC"/>
    <w:rsid w:val="0055682A"/>
    <w:rsid w:val="0056631D"/>
    <w:rsid w:val="0057317D"/>
    <w:rsid w:val="005A7FF7"/>
    <w:rsid w:val="005B489A"/>
    <w:rsid w:val="005C3E23"/>
    <w:rsid w:val="005D1AAB"/>
    <w:rsid w:val="00612B94"/>
    <w:rsid w:val="006358F6"/>
    <w:rsid w:val="00657251"/>
    <w:rsid w:val="0069563B"/>
    <w:rsid w:val="006B4A71"/>
    <w:rsid w:val="00787245"/>
    <w:rsid w:val="00794CFA"/>
    <w:rsid w:val="007A26AA"/>
    <w:rsid w:val="007A7547"/>
    <w:rsid w:val="007A7C30"/>
    <w:rsid w:val="007B4F8D"/>
    <w:rsid w:val="007F563D"/>
    <w:rsid w:val="008659E4"/>
    <w:rsid w:val="00894DA9"/>
    <w:rsid w:val="00901D39"/>
    <w:rsid w:val="009131D6"/>
    <w:rsid w:val="00936079"/>
    <w:rsid w:val="009F39D3"/>
    <w:rsid w:val="00A30CBB"/>
    <w:rsid w:val="00A83137"/>
    <w:rsid w:val="00AB254E"/>
    <w:rsid w:val="00B10BD8"/>
    <w:rsid w:val="00BA765E"/>
    <w:rsid w:val="00C27D37"/>
    <w:rsid w:val="00C945D9"/>
    <w:rsid w:val="00CE48A9"/>
    <w:rsid w:val="00D62C5E"/>
    <w:rsid w:val="00DA7DD1"/>
    <w:rsid w:val="00DC5F6D"/>
    <w:rsid w:val="00E128D8"/>
    <w:rsid w:val="00E370CF"/>
    <w:rsid w:val="00E82236"/>
    <w:rsid w:val="00EF5362"/>
    <w:rsid w:val="00F23C66"/>
    <w:rsid w:val="00F27516"/>
    <w:rsid w:val="00F66B43"/>
    <w:rsid w:val="03DABFD4"/>
    <w:rsid w:val="3216E43C"/>
    <w:rsid w:val="4291970F"/>
    <w:rsid w:val="52620EAC"/>
    <w:rsid w:val="63F16F88"/>
    <w:rsid w:val="7CA9A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2E8C"/>
  <w15:docId w15:val="{8849F351-20BF-4196-849D-2CA28883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6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7D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D3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2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161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8697A"/>
    <w:rPr>
      <w:color w:val="0000FF"/>
      <w:u w:val="single"/>
    </w:rPr>
  </w:style>
  <w:style w:type="paragraph" w:styleId="ListParagraph">
    <w:name w:val="List Paragraph"/>
    <w:basedOn w:val="Normal"/>
    <w:uiPriority w:val="34"/>
    <w:qFormat/>
    <w:rsid w:val="00276190"/>
    <w:pPr>
      <w:ind w:left="720"/>
      <w:contextualSpacing/>
    </w:pPr>
  </w:style>
  <w:style w:type="character" w:styleId="FollowedHyperlink">
    <w:name w:val="FollowedHyperlink"/>
    <w:basedOn w:val="DefaultParagraphFont"/>
    <w:uiPriority w:val="99"/>
    <w:semiHidden/>
    <w:unhideWhenUsed/>
    <w:rsid w:val="002C1782"/>
    <w:rPr>
      <w:color w:val="954F72" w:themeColor="followedHyperlink"/>
      <w:u w:val="single"/>
    </w:rPr>
  </w:style>
  <w:style w:type="paragraph" w:styleId="BalloonText">
    <w:name w:val="Balloon Text"/>
    <w:basedOn w:val="Normal"/>
    <w:link w:val="BalloonTextChar"/>
    <w:uiPriority w:val="99"/>
    <w:semiHidden/>
    <w:unhideWhenUsed/>
    <w:rsid w:val="009F3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qs.aber.ac.uk/index.php?id=628" TargetMode="Externa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x.doi.org/10.25304/rlt.v27.22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aqs.aber.ac.uk/index.php?id=582" TargetMode="External"/><Relationship Id="rId4" Type="http://schemas.openxmlformats.org/officeDocument/2006/relationships/numbering" Target="numbering.xml"/><Relationship Id="rId9" Type="http://schemas.openxmlformats.org/officeDocument/2006/relationships/hyperlink" Target="https://faqs.aber.ac.uk/index.php?search=28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5196DFC6F2445977284E605D27CD8" ma:contentTypeVersion="6" ma:contentTypeDescription="Create a new document." ma:contentTypeScope="" ma:versionID="b093ef207d729d048d3a6774cee3b248">
  <xsd:schema xmlns:xsd="http://www.w3.org/2001/XMLSchema" xmlns:xs="http://www.w3.org/2001/XMLSchema" xmlns:p="http://schemas.microsoft.com/office/2006/metadata/properties" xmlns:ns2="66adb844-5958-47a4-a2c1-6d92570ed170" xmlns:ns3="47848b28-c835-4bfd-8f54-2996db37bbdb" targetNamespace="http://schemas.microsoft.com/office/2006/metadata/properties" ma:root="true" ma:fieldsID="1dccf23ffdc54608019c0e32ac5ad814" ns2:_="" ns3:_="">
    <xsd:import namespace="66adb844-5958-47a4-a2c1-6d92570ed170"/>
    <xsd:import namespace="47848b28-c835-4bfd-8f54-2996db37b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b844-5958-47a4-a2c1-6d92570e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A8D73-349F-447F-A17A-90FA8EFF9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db844-5958-47a4-a2c1-6d92570ed170"/>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05BC8-E864-48C8-8C83-5E44BD6636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372773-8C49-407D-AC20-BA46D5F5D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Woolley [jbw]</dc:creator>
  <cp:lastModifiedBy>James Woolley [jbw]</cp:lastModifiedBy>
  <cp:revision>2</cp:revision>
  <dcterms:created xsi:type="dcterms:W3CDTF">2020-03-27T11:15:00Z</dcterms:created>
  <dcterms:modified xsi:type="dcterms:W3CDTF">2020-03-27T11:15:00Z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0x010100AB75196DFC6F2445977284E605D27CD8</vt:lpwstr>
  </property>
</Properties>
</file>