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30A87DC3" w14:textId="77777777" w:rsidR="00476450" w:rsidRDefault="00476450" w:rsidP="00476450">
      <w:pPr>
        <w:pStyle w:val="Title"/>
      </w:pPr>
      <w:r w:rsidRPr="00432968">
        <w:rPr>
          <w:sz w:val="40"/>
          <w:szCs w:val="40"/>
        </w:rPr>
        <w:t xml:space="preserve">Engaging Students on Study Tours: Some Example Activities </w:t>
      </w:r>
    </w:p>
    <w:p w14:paraId="4AED6BB8" w14:textId="77777777" w:rsidR="00476450" w:rsidRDefault="00476450" w:rsidP="00476450">
      <w:pPr>
        <w:pStyle w:val="Title"/>
      </w:pPr>
      <w:r>
        <w:t xml:space="preserve">Ian </w:t>
      </w:r>
      <w:proofErr w:type="spellStart"/>
      <w:r>
        <w:t>Keirle</w:t>
      </w:r>
      <w:proofErr w:type="spellEnd"/>
    </w:p>
    <w:p w14:paraId="114A4F6F" w14:textId="77777777" w:rsidR="00476450" w:rsidRPr="00BB605D" w:rsidRDefault="00476450" w:rsidP="00476450">
      <w:pPr>
        <w:spacing w:after="0" w:line="360" w:lineRule="auto"/>
        <w:rPr>
          <w:sz w:val="24"/>
          <w:szCs w:val="24"/>
        </w:rPr>
      </w:pPr>
      <w:r w:rsidRPr="00BB605D">
        <w:rPr>
          <w:sz w:val="24"/>
          <w:szCs w:val="24"/>
        </w:rPr>
        <w:t>In some departments residential study tours and field trips form an important element of courses. Their role is to provide students with a concentrated study period that allows core concepts to be developed in the wider environment outside of the University. Such tours provide opportunities to engage and enthuse students and allow teaching and training to be carried out away from the usual lecture format. This presentation will highlight several examples of activities that have been developed by the tourism team for use on tourism study weeks in Snowdonia and Malta. The first example will show how getting students to record issues in the field using digital cameras can be used to illicit discussion when back in the classroom. The second example will demonstrate a role-play exercise using tourism leaflets to get students to understand tourism market segmentation. The final example will show how training students to use social science research methods such as questionnaires and then getting them to implement them in the field can develop more in students than just knowledge of social science research techniques!</w:t>
      </w:r>
    </w:p>
    <w:p w14:paraId="35BA8C82" w14:textId="102D7D41" w:rsidR="004E4F51" w:rsidRPr="00593F64" w:rsidRDefault="004E4F51" w:rsidP="003407A7">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47143F"/>
    <w:rsid w:val="004720D6"/>
    <w:rsid w:val="00476450"/>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2022-03-31T11:39:00Z</dcterms:created>
  <dcterms:modified xsi:type="dcterms:W3CDTF">2022-03-31T11:39:00Z</dcterms:modified>
</cp:coreProperties>
</file>