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a14="http://schemas.microsoft.com/office/drawing/2010/main" mc:Ignorable="w14 w15 w16se w16cid w16 w16cex w16sdtdh wp14">
  <w:body>
    <w:p w:rsidRPr="00276350" w:rsidR="00E71ABA" w:rsidP="00E71ABA" w:rsidRDefault="00E71ABA" w14:paraId="67222B53" w14:textId="11EB3371">
      <w:pPr>
        <w:pStyle w:val="ConferenceTitle"/>
        <w:jc w:val="left"/>
      </w:pPr>
      <w:r w:rsidR="00E71ABA">
        <w:rPr/>
        <w:t>1</w:t>
      </w:r>
      <w:r w:rsidR="40DAA8DE">
        <w:rPr/>
        <w:t>2fed</w:t>
      </w:r>
      <w:r w:rsidR="00E71ABA">
        <w:rPr/>
        <w:t xml:space="preserve"> Gynhadledd Dysgu ac Addysgu</w:t>
      </w:r>
    </w:p>
    <w:p w:rsidRPr="00276350" w:rsidR="00E71ABA" w:rsidP="00E71ABA" w:rsidRDefault="00E71ABA" w14:paraId="24E50398" w14:textId="666BA307">
      <w:pPr>
        <w:pStyle w:val="ConferenceTitle"/>
        <w:jc w:val="left"/>
      </w:pPr>
      <w:r w:rsidR="00E71ABA">
        <w:rPr/>
        <w:t>1</w:t>
      </w:r>
      <w:r w:rsidR="5D4F2598">
        <w:rPr/>
        <w:t>2</w:t>
      </w:r>
      <w:r w:rsidR="00E71ABA">
        <w:rPr/>
        <w:t xml:space="preserve">th </w:t>
      </w:r>
      <w:r w:rsidR="00E71ABA">
        <w:rPr/>
        <w:t>Annual</w:t>
      </w:r>
      <w:r w:rsidR="00E71ABA">
        <w:rPr/>
        <w:t xml:space="preserve"> Learning and Teaching Conference</w:t>
      </w:r>
    </w:p>
    <w:p w:rsidR="46CA81BB" w:rsidP="5022735B" w:rsidRDefault="46CA81BB" w14:paraId="406EECF1" w14:textId="2675604B">
      <w:pPr>
        <w:pStyle w:val="ConferenceTitle"/>
        <w:bidi w:val="0"/>
        <w:spacing w:before="0" w:beforeAutospacing="off" w:after="0" w:afterAutospacing="off" w:line="240" w:lineRule="auto"/>
        <w:ind w:left="0" w:right="0"/>
        <w:jc w:val="left"/>
      </w:pPr>
      <w:r w:rsidR="32683A42">
        <w:rPr/>
        <w:t xml:space="preserve">10-12 Medi 2024 </w:t>
      </w:r>
      <w:r w:rsidR="00E71ABA">
        <w:rPr/>
        <w:t xml:space="preserve">| </w:t>
      </w:r>
      <w:r w:rsidR="77BA96F9">
        <w:rPr/>
        <w:t>10-12</w:t>
      </w:r>
      <w:r w:rsidR="5CAA9A6F">
        <w:rPr/>
        <w:t xml:space="preserve"> </w:t>
      </w:r>
      <w:r w:rsidR="54D6C478">
        <w:rPr/>
        <w:t>September 2024</w:t>
      </w:r>
    </w:p>
    <w:p w:rsidRPr="003932AC" w:rsidR="00280F5A" w:rsidP="12826633" w:rsidRDefault="00280F5A" w14:paraId="125F40DD" w14:textId="69B16B9B">
      <w:pPr>
        <w:pStyle w:val="PaperandAuthor"/>
        <w:bidi w:val="0"/>
        <w:spacing w:before="240" w:beforeAutospacing="off" w:after="0" w:afterAutospacing="off" w:line="259" w:lineRule="auto"/>
        <w:ind w:left="0" w:right="0"/>
        <w:jc w:val="left"/>
        <w:textAlignment w:val="baseline"/>
      </w:pPr>
      <w:r w:rsidRPr="12826633" w:rsidR="392C87E6">
        <w:rPr>
          <w:noProof w:val="0"/>
          <w:lang w:val="en-GB"/>
        </w:rPr>
        <w:t>'History is so Gay!': Developing skills for queering analysis of historical sources using collage</w:t>
      </w:r>
    </w:p>
    <w:p w:rsidRPr="003932AC" w:rsidR="00280F5A" w:rsidP="12826633" w:rsidRDefault="00280F5A" w14:paraId="4C8A0653" w14:textId="25179F2D">
      <w:pPr>
        <w:pStyle w:val="PaperandAuthor"/>
        <w:suppressLineNumbers w:val="0"/>
        <w:bidi w:val="0"/>
        <w:spacing w:before="240" w:beforeAutospacing="off" w:after="0" w:afterAutospacing="off" w:line="259" w:lineRule="auto"/>
        <w:ind w:left="0" w:right="0"/>
        <w:jc w:val="left"/>
        <w:textAlignment w:val="baseline"/>
      </w:pPr>
      <w:r w:rsidR="392C87E6">
        <w:rPr/>
        <w:t>Diana Valencia-Duarte</w:t>
      </w:r>
    </w:p>
    <w:p w:rsidRPr="003932AC" w:rsidR="00280F5A" w:rsidP="12826633" w:rsidRDefault="00280F5A" w14:paraId="6C9F890E" w14:textId="5CE53DBE">
      <w:pPr>
        <w:pStyle w:val="PaperandAuthor"/>
        <w:suppressLineNumbers w:val="0"/>
        <w:bidi w:val="0"/>
        <w:spacing w:before="240" w:beforeAutospacing="off" w:after="0" w:afterAutospacing="off" w:line="259" w:lineRule="auto"/>
        <w:ind w:left="0" w:right="0"/>
        <w:jc w:val="left"/>
        <w:textAlignment w:val="baseline"/>
      </w:pPr>
      <w:r w:rsidR="392C87E6">
        <w:rPr/>
        <w:t>Hanes a Hanes Cymru | History and Welsh History</w:t>
      </w:r>
    </w:p>
    <w:p w:rsidRPr="003932AC" w:rsidR="00280F5A" w:rsidP="12826633" w:rsidRDefault="00280F5A" w14:paraId="635651A9" w14:textId="17DA5584">
      <w:pPr>
        <w:pStyle w:val="Normal"/>
        <w:bidi w:val="0"/>
      </w:pPr>
    </w:p>
    <w:p w:rsidR="5D0B75C6" w:rsidP="708F29C5" w:rsidRDefault="5D0B75C6" w14:paraId="1E952D25" w14:textId="1EB30C67">
      <w:pPr>
        <w:bidi w:val="0"/>
        <w:spacing w:before="0" w:beforeAutospacing="off" w:after="160" w:afterAutospacing="off" w:line="257" w:lineRule="auto"/>
      </w:pPr>
      <w:r w:rsidRPr="708F29C5" w:rsidR="5D0B75C6">
        <w:rPr>
          <w:rFonts w:ascii="Arial" w:hAnsi="Arial" w:eastAsia="Arial" w:cs="Arial"/>
          <w:noProof w:val="0"/>
          <w:sz w:val="24"/>
          <w:szCs w:val="24"/>
          <w:lang w:val="en-GB"/>
        </w:rPr>
        <w:t xml:space="preserve">I propose to reproduce the 10th session of our skills-based 'Module HY24320: Interdisciplinary and Decolonial History'. This seminar used the collage </w:t>
      </w:r>
      <w:r w:rsidRPr="708F29C5" w:rsidR="5D0B75C6">
        <w:rPr>
          <w:rFonts w:ascii="Arial" w:hAnsi="Arial" w:eastAsia="Arial" w:cs="Arial"/>
          <w:i w:val="1"/>
          <w:iCs w:val="1"/>
          <w:noProof w:val="0"/>
          <w:sz w:val="24"/>
          <w:szCs w:val="24"/>
          <w:lang w:val="en-GB"/>
        </w:rPr>
        <w:t>language</w:t>
      </w:r>
      <w:r w:rsidRPr="708F29C5" w:rsidR="5D0B75C6">
        <w:rPr>
          <w:rFonts w:ascii="Arial" w:hAnsi="Arial" w:eastAsia="Arial" w:cs="Arial"/>
          <w:noProof w:val="0"/>
          <w:sz w:val="24"/>
          <w:szCs w:val="24"/>
          <w:lang w:val="en-GB"/>
        </w:rPr>
        <w:t xml:space="preserve"> to analyse Solimar Otero’s chapter: ‘Yemayá y Ochún Queering the Vernacular Logics of the Waters’, from the book </w:t>
      </w:r>
      <w:r w:rsidRPr="708F29C5" w:rsidR="5D0B75C6">
        <w:rPr>
          <w:rFonts w:ascii="Arial" w:hAnsi="Arial" w:eastAsia="Arial" w:cs="Arial"/>
          <w:i w:val="1"/>
          <w:iCs w:val="1"/>
          <w:noProof w:val="0"/>
          <w:sz w:val="24"/>
          <w:szCs w:val="24"/>
          <w:lang w:val="en-GB"/>
        </w:rPr>
        <w:t>Yemoja: Gender, Sexuality, and Creativity in the Latina/o and Afro-Atlantic Diasporas</w:t>
      </w:r>
      <w:r w:rsidRPr="708F29C5" w:rsidR="5D0B75C6">
        <w:rPr>
          <w:rFonts w:ascii="Arial" w:hAnsi="Arial" w:eastAsia="Arial" w:cs="Arial"/>
          <w:noProof w:val="0"/>
          <w:sz w:val="24"/>
          <w:szCs w:val="24"/>
          <w:lang w:val="en-GB"/>
        </w:rPr>
        <w:t xml:space="preserve">, ed. by Toyin Falola, 1st ed. (Albany: SUNY Press, 2013, pp. 118–45). We used printed images from three editions of the magazine 'Aperture' (No 235 Orlando - on gender fluidity, No 252 - on Ghanian photography, No 254 Counter Histories), all of which were provided by our library in the Aspire reading list. </w:t>
      </w:r>
    </w:p>
    <w:p w:rsidR="5D0B75C6" w:rsidP="708F29C5" w:rsidRDefault="5D0B75C6" w14:paraId="23A3A147" w14:textId="3DDCEB28">
      <w:pPr>
        <w:bidi w:val="0"/>
        <w:spacing w:before="0" w:beforeAutospacing="off" w:after="160" w:afterAutospacing="off" w:line="257" w:lineRule="auto"/>
      </w:pPr>
      <w:r w:rsidRPr="708F29C5" w:rsidR="5D0B75C6">
        <w:rPr>
          <w:rFonts w:ascii="Arial" w:hAnsi="Arial" w:eastAsia="Arial" w:cs="Arial"/>
          <w:noProof w:val="0"/>
          <w:sz w:val="24"/>
          <w:szCs w:val="24"/>
          <w:lang w:val="en-GB"/>
        </w:rPr>
        <w:t>This seminar aimed not only to foster reflection on the use of primary and secondary sources trough the deconstruction and reconstruction of messages, but also to develop specific skills:</w:t>
      </w:r>
    </w:p>
    <w:p w:rsidR="5D0B75C6" w:rsidP="708F29C5" w:rsidRDefault="5D0B75C6" w14:paraId="3A87B4EB" w14:textId="67D828DF">
      <w:pPr>
        <w:pStyle w:val="ListParagraph"/>
        <w:numPr>
          <w:ilvl w:val="0"/>
          <w:numId w:val="7"/>
        </w:numPr>
        <w:bidi w:val="0"/>
        <w:spacing w:before="0" w:beforeAutospacing="off" w:after="0" w:afterAutospacing="off" w:line="257" w:lineRule="auto"/>
        <w:ind w:left="720" w:hanging="360"/>
        <w:rPr>
          <w:rFonts w:ascii="Arial" w:hAnsi="Arial" w:eastAsia="Arial" w:cs="Arial"/>
          <w:noProof w:val="0"/>
          <w:sz w:val="24"/>
          <w:szCs w:val="24"/>
          <w:lang w:val="en-GB"/>
        </w:rPr>
      </w:pPr>
      <w:r w:rsidRPr="708F29C5" w:rsidR="5D0B75C6">
        <w:rPr>
          <w:rFonts w:ascii="Arial" w:hAnsi="Arial" w:eastAsia="Arial" w:cs="Arial"/>
          <w:noProof w:val="0"/>
          <w:sz w:val="24"/>
          <w:szCs w:val="24"/>
          <w:lang w:val="en-GB"/>
        </w:rPr>
        <w:t xml:space="preserve">empathy to approach research decolonially (dismantling historical narratives that perpetuates power imbalances across gender, race, class, disability), and </w:t>
      </w:r>
    </w:p>
    <w:p w:rsidR="5D0B75C6" w:rsidP="708F29C5" w:rsidRDefault="5D0B75C6" w14:paraId="344BE961" w14:textId="4D6385AB">
      <w:pPr>
        <w:pStyle w:val="ListParagraph"/>
        <w:numPr>
          <w:ilvl w:val="0"/>
          <w:numId w:val="7"/>
        </w:numPr>
        <w:bidi w:val="0"/>
        <w:spacing w:before="0" w:beforeAutospacing="off" w:after="0" w:afterAutospacing="off" w:line="257" w:lineRule="auto"/>
        <w:ind w:left="720" w:hanging="360"/>
        <w:rPr>
          <w:rFonts w:ascii="Arial" w:hAnsi="Arial" w:eastAsia="Arial" w:cs="Arial"/>
          <w:noProof w:val="0"/>
          <w:sz w:val="24"/>
          <w:szCs w:val="24"/>
          <w:lang w:val="en-GB"/>
        </w:rPr>
      </w:pPr>
      <w:r w:rsidRPr="708F29C5" w:rsidR="5D0B75C6">
        <w:rPr>
          <w:rFonts w:ascii="Arial" w:hAnsi="Arial" w:eastAsia="Arial" w:cs="Arial"/>
          <w:noProof w:val="0"/>
          <w:sz w:val="24"/>
          <w:szCs w:val="24"/>
          <w:lang w:val="en-GB"/>
        </w:rPr>
        <w:t xml:space="preserve">critical thinking through 'queering the analysis' to challenge and transcend traditional disciplinary boundaries, dichotomies, and essentialisms. For example, we challenge disciplinary frontiers trough interdisciplinary practices. Similarly, we can blur the distinction between approaches to primary and secondary sources, a dichotomy that we could understand with more fluidity.  </w:t>
      </w:r>
    </w:p>
    <w:p w:rsidR="708F29C5" w:rsidP="708F29C5" w:rsidRDefault="708F29C5" w14:paraId="43F99318" w14:textId="21EAE14B">
      <w:pPr>
        <w:bidi w:val="0"/>
        <w:spacing w:before="0" w:beforeAutospacing="off" w:after="160" w:afterAutospacing="off" w:line="257" w:lineRule="auto"/>
        <w:rPr>
          <w:rFonts w:ascii="Arial" w:hAnsi="Arial" w:eastAsia="Arial" w:cs="Arial"/>
          <w:noProof w:val="0"/>
          <w:sz w:val="24"/>
          <w:szCs w:val="24"/>
          <w:lang w:val="en-GB"/>
        </w:rPr>
      </w:pPr>
    </w:p>
    <w:p w:rsidR="5D0B75C6" w:rsidP="708F29C5" w:rsidRDefault="5D0B75C6" w14:paraId="68AFBCB3" w14:textId="5A0CD9A1">
      <w:pPr>
        <w:bidi w:val="0"/>
        <w:spacing w:before="0" w:beforeAutospacing="off" w:after="160" w:afterAutospacing="off" w:line="257" w:lineRule="auto"/>
      </w:pPr>
      <w:r w:rsidRPr="708F29C5" w:rsidR="5D0B75C6">
        <w:rPr>
          <w:rFonts w:ascii="Arial" w:hAnsi="Arial" w:eastAsia="Arial" w:cs="Arial"/>
          <w:noProof w:val="0"/>
          <w:sz w:val="24"/>
          <w:szCs w:val="24"/>
          <w:lang w:val="en-GB"/>
        </w:rPr>
        <w:t>The activity was accompanied by Afrodiasporic Caribbean music themed around Yoruba Orisha deities and was closed by an exposition of the participants’ works, followed by a discussion and conclusions.</w:t>
      </w:r>
    </w:p>
    <w:p w:rsidR="708F29C5" w:rsidP="708F29C5" w:rsidRDefault="708F29C5" w14:paraId="5DFC5472" w14:textId="400599F4">
      <w:pPr>
        <w:pStyle w:val="Normal"/>
      </w:pPr>
    </w:p>
    <w:p w:rsidRPr="005E43E9" w:rsidR="005E43E9" w:rsidP="5022735B" w:rsidRDefault="005E43E9" w14:paraId="7109FFF8" w14:textId="17D4775A">
      <w:pPr>
        <w:pStyle w:val="Normal"/>
        <w:jc w:val="center"/>
      </w:pPr>
      <w:r w:rsidR="6F4D581C">
        <w:drawing>
          <wp:inline wp14:editId="4411C49D" wp14:anchorId="23ED193C">
            <wp:extent cx="1323378" cy="1323378"/>
            <wp:effectExtent l="0" t="0" r="0" b="0"/>
            <wp:docPr id="1230280489" name="" title=""/>
            <wp:cNvGraphicFramePr>
              <a:graphicFrameLocks noChangeAspect="1"/>
            </wp:cNvGraphicFramePr>
            <a:graphic>
              <a:graphicData uri="http://schemas.openxmlformats.org/drawingml/2006/picture">
                <pic:pic>
                  <pic:nvPicPr>
                    <pic:cNvPr id="0" name=""/>
                    <pic:cNvPicPr/>
                  </pic:nvPicPr>
                  <pic:blipFill>
                    <a:blip r:embed="Rc723580f2d244644">
                      <a:extLst>
                        <a:ext xmlns:a="http://schemas.openxmlformats.org/drawingml/2006/main" uri="{28A0092B-C50C-407E-A947-70E740481C1C}">
                          <a14:useLocalDpi val="0"/>
                        </a:ext>
                      </a:extLst>
                    </a:blip>
                    <a:stretch>
                      <a:fillRect/>
                    </a:stretch>
                  </pic:blipFill>
                  <pic:spPr>
                    <a:xfrm>
                      <a:off x="0" y="0"/>
                      <a:ext cx="1323378" cy="1323378"/>
                    </a:xfrm>
                    <a:prstGeom prst="rect">
                      <a:avLst/>
                    </a:prstGeom>
                  </pic:spPr>
                </pic:pic>
              </a:graphicData>
            </a:graphic>
          </wp:inline>
        </w:drawing>
      </w:r>
    </w:p>
    <w:p w:rsidRPr="005E43E9" w:rsidR="005E43E9" w:rsidP="005E43E9" w:rsidRDefault="005E43E9" w14:paraId="306C0A70" w14:textId="1649C1B2"/>
    <w:p w:rsidRPr="00E71ABA" w:rsidR="00E71ABA" w:rsidP="00E71ABA" w:rsidRDefault="00E71ABA" w14:paraId="2945C4D6" w14:textId="77777777"/>
    <w:sectPr w:rsidRPr="00E71ABA" w:rsidR="00E71AB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int2:observations>
    <int2:textHash int2:hashCode="hfKuokTaviSwe7" int2:id="P7PugL3m">
      <int2:state int2:type="AugLoop_Text_Critique" int2:value="Rejected"/>
    </int2:textHash>
    <int2:textHash int2:hashCode="gP9p1fW1XOZl+G" int2:id="JlreMpxN">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
    <w:nsid w:val="48c781a1"/>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43f028e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fdd602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753aef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9B91FDD"/>
    <w:multiLevelType w:val="multilevel"/>
    <w:tmpl w:val="2056E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126CC"/>
    <w:multiLevelType w:val="hybridMultilevel"/>
    <w:tmpl w:val="3EB2B738"/>
    <w:lvl w:ilvl="0" w:tplc="08090001">
      <w:start w:val="1"/>
      <w:numFmt w:val="bullet"/>
      <w:lvlText w:val=""/>
      <w:lvlJc w:val="left"/>
      <w:pPr>
        <w:ind w:left="790" w:hanging="360"/>
      </w:pPr>
      <w:rPr>
        <w:rFonts w:hint="default" w:ascii="Symbol" w:hAnsi="Symbol"/>
      </w:rPr>
    </w:lvl>
    <w:lvl w:ilvl="1" w:tplc="08090003" w:tentative="1">
      <w:start w:val="1"/>
      <w:numFmt w:val="bullet"/>
      <w:lvlText w:val="o"/>
      <w:lvlJc w:val="left"/>
      <w:pPr>
        <w:ind w:left="1510" w:hanging="360"/>
      </w:pPr>
      <w:rPr>
        <w:rFonts w:hint="default" w:ascii="Courier New" w:hAnsi="Courier New" w:cs="Courier New"/>
      </w:rPr>
    </w:lvl>
    <w:lvl w:ilvl="2" w:tplc="08090005" w:tentative="1">
      <w:start w:val="1"/>
      <w:numFmt w:val="bullet"/>
      <w:lvlText w:val=""/>
      <w:lvlJc w:val="left"/>
      <w:pPr>
        <w:ind w:left="2230" w:hanging="360"/>
      </w:pPr>
      <w:rPr>
        <w:rFonts w:hint="default" w:ascii="Wingdings" w:hAnsi="Wingdings"/>
      </w:rPr>
    </w:lvl>
    <w:lvl w:ilvl="3" w:tplc="08090001" w:tentative="1">
      <w:start w:val="1"/>
      <w:numFmt w:val="bullet"/>
      <w:lvlText w:val=""/>
      <w:lvlJc w:val="left"/>
      <w:pPr>
        <w:ind w:left="2950" w:hanging="360"/>
      </w:pPr>
      <w:rPr>
        <w:rFonts w:hint="default" w:ascii="Symbol" w:hAnsi="Symbol"/>
      </w:rPr>
    </w:lvl>
    <w:lvl w:ilvl="4" w:tplc="08090003" w:tentative="1">
      <w:start w:val="1"/>
      <w:numFmt w:val="bullet"/>
      <w:lvlText w:val="o"/>
      <w:lvlJc w:val="left"/>
      <w:pPr>
        <w:ind w:left="3670" w:hanging="360"/>
      </w:pPr>
      <w:rPr>
        <w:rFonts w:hint="default" w:ascii="Courier New" w:hAnsi="Courier New" w:cs="Courier New"/>
      </w:rPr>
    </w:lvl>
    <w:lvl w:ilvl="5" w:tplc="08090005" w:tentative="1">
      <w:start w:val="1"/>
      <w:numFmt w:val="bullet"/>
      <w:lvlText w:val=""/>
      <w:lvlJc w:val="left"/>
      <w:pPr>
        <w:ind w:left="4390" w:hanging="360"/>
      </w:pPr>
      <w:rPr>
        <w:rFonts w:hint="default" w:ascii="Wingdings" w:hAnsi="Wingdings"/>
      </w:rPr>
    </w:lvl>
    <w:lvl w:ilvl="6" w:tplc="08090001" w:tentative="1">
      <w:start w:val="1"/>
      <w:numFmt w:val="bullet"/>
      <w:lvlText w:val=""/>
      <w:lvlJc w:val="left"/>
      <w:pPr>
        <w:ind w:left="5110" w:hanging="360"/>
      </w:pPr>
      <w:rPr>
        <w:rFonts w:hint="default" w:ascii="Symbol" w:hAnsi="Symbol"/>
      </w:rPr>
    </w:lvl>
    <w:lvl w:ilvl="7" w:tplc="08090003" w:tentative="1">
      <w:start w:val="1"/>
      <w:numFmt w:val="bullet"/>
      <w:lvlText w:val="o"/>
      <w:lvlJc w:val="left"/>
      <w:pPr>
        <w:ind w:left="5830" w:hanging="360"/>
      </w:pPr>
      <w:rPr>
        <w:rFonts w:hint="default" w:ascii="Courier New" w:hAnsi="Courier New" w:cs="Courier New"/>
      </w:rPr>
    </w:lvl>
    <w:lvl w:ilvl="8" w:tplc="08090005" w:tentative="1">
      <w:start w:val="1"/>
      <w:numFmt w:val="bullet"/>
      <w:lvlText w:val=""/>
      <w:lvlJc w:val="left"/>
      <w:pPr>
        <w:ind w:left="6550" w:hanging="360"/>
      </w:pPr>
      <w:rPr>
        <w:rFonts w:hint="default" w:ascii="Wingdings" w:hAnsi="Wingdings"/>
      </w:rPr>
    </w:lvl>
  </w:abstractNum>
  <w:num w:numId="8">
    <w:abstractNumId w:val="7"/>
  </w:num>
  <w:num w:numId="7">
    <w:abstractNumId w:val="6"/>
  </w:num>
  <w:num w:numId="6">
    <w:abstractNumId w:val="5"/>
  </w:num>
  <w:num w:numId="5">
    <w:abstractNumId w:val="4"/>
  </w:num>
  <w:num w:numId="1" w16cid:durableId="499857109">
    <w:abstractNumId w:val="2"/>
  </w:num>
  <w:num w:numId="2" w16cid:durableId="1405178110">
    <w:abstractNumId w:val="0"/>
  </w:num>
  <w:num w:numId="3" w16cid:durableId="111484517">
    <w:abstractNumId w:val="3"/>
  </w:num>
  <w:num w:numId="4" w16cid:durableId="1750344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75F03"/>
    <w:rsid w:val="000B1F34"/>
    <w:rsid w:val="000E1F97"/>
    <w:rsid w:val="001C6528"/>
    <w:rsid w:val="00280F5A"/>
    <w:rsid w:val="0030794B"/>
    <w:rsid w:val="003932AC"/>
    <w:rsid w:val="0042122B"/>
    <w:rsid w:val="00427955"/>
    <w:rsid w:val="004565A0"/>
    <w:rsid w:val="004A6ACC"/>
    <w:rsid w:val="005E43E9"/>
    <w:rsid w:val="006752AB"/>
    <w:rsid w:val="006A0A49"/>
    <w:rsid w:val="006A16AC"/>
    <w:rsid w:val="00705958"/>
    <w:rsid w:val="007469D2"/>
    <w:rsid w:val="00844057"/>
    <w:rsid w:val="008B6464"/>
    <w:rsid w:val="00934BE2"/>
    <w:rsid w:val="00934CC6"/>
    <w:rsid w:val="00A11CCC"/>
    <w:rsid w:val="00AB6F74"/>
    <w:rsid w:val="00B2647F"/>
    <w:rsid w:val="00B4796F"/>
    <w:rsid w:val="00B6789A"/>
    <w:rsid w:val="00BE1AB5"/>
    <w:rsid w:val="00D11E75"/>
    <w:rsid w:val="00DF747A"/>
    <w:rsid w:val="00E71ABA"/>
    <w:rsid w:val="0974B0FC"/>
    <w:rsid w:val="0DCF319A"/>
    <w:rsid w:val="0EF4E167"/>
    <w:rsid w:val="0F45F81E"/>
    <w:rsid w:val="12826633"/>
    <w:rsid w:val="1B906CC7"/>
    <w:rsid w:val="1DBE4B53"/>
    <w:rsid w:val="1F5C8AEB"/>
    <w:rsid w:val="246B0DBC"/>
    <w:rsid w:val="26350404"/>
    <w:rsid w:val="27DBA2FF"/>
    <w:rsid w:val="2C4E6DF6"/>
    <w:rsid w:val="32683A42"/>
    <w:rsid w:val="392C87E6"/>
    <w:rsid w:val="3D5854B3"/>
    <w:rsid w:val="3D848606"/>
    <w:rsid w:val="40DAA8DE"/>
    <w:rsid w:val="46CA81BB"/>
    <w:rsid w:val="4D449ACC"/>
    <w:rsid w:val="4E8C46D1"/>
    <w:rsid w:val="4EB0E714"/>
    <w:rsid w:val="5022735B"/>
    <w:rsid w:val="54D6C478"/>
    <w:rsid w:val="5B6CC807"/>
    <w:rsid w:val="5C8C1A01"/>
    <w:rsid w:val="5CAA9A6F"/>
    <w:rsid w:val="5D0B75C6"/>
    <w:rsid w:val="5D4F2598"/>
    <w:rsid w:val="5D777A54"/>
    <w:rsid w:val="5FCFA8DA"/>
    <w:rsid w:val="61E9EC74"/>
    <w:rsid w:val="6A41E626"/>
    <w:rsid w:val="6A74791F"/>
    <w:rsid w:val="6ACD6DE4"/>
    <w:rsid w:val="6BC3D728"/>
    <w:rsid w:val="6CE177CC"/>
    <w:rsid w:val="6CE177CC"/>
    <w:rsid w:val="6F4D581C"/>
    <w:rsid w:val="708F29C5"/>
    <w:rsid w:val="728795FF"/>
    <w:rsid w:val="740ECB5C"/>
    <w:rsid w:val="77BA96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C35C669B-F855-45EB-9259-A5DD602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71ABA"/>
    <w:rPr>
      <w:rFonts w:asciiTheme="majorHAnsi" w:hAnsiTheme="majorHAnsi" w:eastAsiaTheme="majorEastAsia" w:cstheme="majorBidi"/>
      <w:spacing w:val="-10"/>
      <w:kern w:val="28"/>
      <w:sz w:val="56"/>
      <w:szCs w:val="56"/>
    </w:rPr>
  </w:style>
  <w:style w:type="paragraph" w:styleId="ConferenceTitle" w:customStyle="1">
    <w:name w:val="Conference Title"/>
    <w:basedOn w:val="Title"/>
    <w:qFormat/>
    <w:rsid w:val="00E71ABA"/>
    <w:pPr>
      <w:jc w:val="right"/>
    </w:pPr>
    <w:rPr>
      <w:rFonts w:ascii="Arial" w:hAnsi="Arial" w:cs="Arial"/>
      <w:sz w:val="40"/>
      <w:lang w:val="cy-GB"/>
    </w:rPr>
  </w:style>
  <w:style w:type="paragraph" w:styleId="Style1" w:customStyle="1">
    <w:name w:val="Style1"/>
    <w:basedOn w:val="Normal"/>
    <w:qFormat/>
    <w:rsid w:val="00E71ABA"/>
  </w:style>
  <w:style w:type="character" w:styleId="Heading2Char" w:customStyle="1">
    <w:name w:val="Heading 2 Char"/>
    <w:basedOn w:val="DefaultParagraphFont"/>
    <w:link w:val="Heading2"/>
    <w:uiPriority w:val="9"/>
    <w:rsid w:val="00E71ABA"/>
    <w:rPr>
      <w:rFonts w:asciiTheme="majorHAnsi" w:hAnsiTheme="majorHAnsi" w:eastAsiaTheme="majorEastAsia" w:cstheme="majorBidi"/>
      <w:color w:val="2F5496" w:themeColor="accent1" w:themeShade="BF"/>
      <w:sz w:val="26"/>
      <w:szCs w:val="26"/>
    </w:rPr>
  </w:style>
  <w:style w:type="paragraph" w:styleId="Abstracts" w:customStyle="1">
    <w:name w:val="Abstracts"/>
    <w:basedOn w:val="Heading2"/>
    <w:qFormat/>
    <w:rsid w:val="00E71ABA"/>
    <w:rPr>
      <w:rFonts w:ascii="Arial" w:hAnsi="Arial" w:cs="Arial"/>
      <w:color w:val="000000" w:themeColor="text1"/>
      <w:sz w:val="28"/>
      <w:szCs w:val="28"/>
      <w:lang w:val="cy-GB"/>
    </w:rPr>
  </w:style>
  <w:style w:type="character" w:styleId="Heading1Char" w:customStyle="1">
    <w:name w:val="Heading 1 Char"/>
    <w:basedOn w:val="DefaultParagraphFont"/>
    <w:link w:val="Heading1"/>
    <w:uiPriority w:val="9"/>
    <w:rsid w:val="005E43E9"/>
    <w:rPr>
      <w:rFonts w:asciiTheme="majorHAnsi" w:hAnsiTheme="majorHAnsi" w:eastAsiaTheme="majorEastAsia" w:cstheme="majorBidi"/>
      <w:color w:val="2F5496" w:themeColor="accent1" w:themeShade="BF"/>
      <w:sz w:val="32"/>
      <w:szCs w:val="32"/>
    </w:rPr>
  </w:style>
  <w:style w:type="paragraph" w:styleId="PaperandAuthor" w:customStyle="1">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3932AC"/>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3932AC"/>
  </w:style>
  <w:style w:type="character" w:styleId="eop" w:customStyle="1">
    <w:name w:val="eop"/>
    <w:basedOn w:val="DefaultParagraphFont"/>
    <w:rsid w:val="003932AC"/>
  </w:style>
  <w:style w:type="paragraph" w:styleId="NormalWeb">
    <w:name w:val="Normal (Web)"/>
    <w:basedOn w:val="Normal"/>
    <w:uiPriority w:val="99"/>
    <w:semiHidden/>
    <w:unhideWhenUsed/>
    <w:rsid w:val="00280F5A"/>
    <w:pPr>
      <w:spacing w:before="100" w:beforeAutospacing="1" w:after="100" w:afterAutospacing="1" w:line="240" w:lineRule="auto"/>
    </w:pPr>
    <w:rPr>
      <w:rFonts w:ascii="Times New Roman" w:hAnsi="Times New Roman"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0196">
      <w:bodyDiv w:val="1"/>
      <w:marLeft w:val="0"/>
      <w:marRight w:val="0"/>
      <w:marTop w:val="0"/>
      <w:marBottom w:val="0"/>
      <w:divBdr>
        <w:top w:val="none" w:sz="0" w:space="0" w:color="auto"/>
        <w:left w:val="none" w:sz="0" w:space="0" w:color="auto"/>
        <w:bottom w:val="none" w:sz="0" w:space="0" w:color="auto"/>
        <w:right w:val="none" w:sz="0" w:space="0" w:color="auto"/>
      </w:divBdr>
    </w:div>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634146049">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72392748">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407460683">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 w:id="2050490658">
      <w:bodyDiv w:val="1"/>
      <w:marLeft w:val="0"/>
      <w:marRight w:val="0"/>
      <w:marTop w:val="0"/>
      <w:marBottom w:val="0"/>
      <w:divBdr>
        <w:top w:val="none" w:sz="0" w:space="0" w:color="auto"/>
        <w:left w:val="none" w:sz="0" w:space="0" w:color="auto"/>
        <w:bottom w:val="none" w:sz="0" w:space="0" w:color="auto"/>
        <w:right w:val="none" w:sz="0" w:space="0" w:color="auto"/>
      </w:divBdr>
      <w:divsChild>
        <w:div w:id="1984431558">
          <w:marLeft w:val="0"/>
          <w:marRight w:val="0"/>
          <w:marTop w:val="0"/>
          <w:marBottom w:val="0"/>
          <w:divBdr>
            <w:top w:val="none" w:sz="0" w:space="0" w:color="auto"/>
            <w:left w:val="none" w:sz="0" w:space="0" w:color="auto"/>
            <w:bottom w:val="none" w:sz="0" w:space="0" w:color="auto"/>
            <w:right w:val="none" w:sz="0" w:space="0" w:color="auto"/>
          </w:divBdr>
        </w:div>
        <w:div w:id="2100639570">
          <w:marLeft w:val="0"/>
          <w:marRight w:val="0"/>
          <w:marTop w:val="0"/>
          <w:marBottom w:val="0"/>
          <w:divBdr>
            <w:top w:val="none" w:sz="0" w:space="0" w:color="auto"/>
            <w:left w:val="none" w:sz="0" w:space="0" w:color="auto"/>
            <w:bottom w:val="none" w:sz="0" w:space="0" w:color="auto"/>
            <w:right w:val="none" w:sz="0" w:space="0" w:color="auto"/>
          </w:divBdr>
        </w:div>
        <w:div w:id="1842576003">
          <w:marLeft w:val="0"/>
          <w:marRight w:val="0"/>
          <w:marTop w:val="0"/>
          <w:marBottom w:val="0"/>
          <w:divBdr>
            <w:top w:val="none" w:sz="0" w:space="0" w:color="auto"/>
            <w:left w:val="none" w:sz="0" w:space="0" w:color="auto"/>
            <w:bottom w:val="none" w:sz="0" w:space="0" w:color="auto"/>
            <w:right w:val="none" w:sz="0" w:space="0" w:color="auto"/>
          </w:divBdr>
        </w:div>
        <w:div w:id="412048090">
          <w:marLeft w:val="0"/>
          <w:marRight w:val="0"/>
          <w:marTop w:val="0"/>
          <w:marBottom w:val="0"/>
          <w:divBdr>
            <w:top w:val="none" w:sz="0" w:space="0" w:color="auto"/>
            <w:left w:val="none" w:sz="0" w:space="0" w:color="auto"/>
            <w:bottom w:val="none" w:sz="0" w:space="0" w:color="auto"/>
            <w:right w:val="none" w:sz="0" w:space="0" w:color="auto"/>
          </w:divBdr>
        </w:div>
        <w:div w:id="211258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png" Id="Rc723580f2d244644" /><Relationship Type="http://schemas.microsoft.com/office/2020/10/relationships/intelligence" Target="intelligence2.xml" Id="R9527b9a50f5240e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3" ma:contentTypeDescription="Create a new document." ma:contentTypeScope="" ma:versionID="75bf210390e5276994e6be8c47f2cbb1">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f7e70708bb3113f791f028bcc98a7244"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11C3C-A435-4ED9-9060-ECCF3CC2E1E2}">
  <ds:schemaRefs>
    <ds:schemaRef ds:uri="http://schemas.microsoft.com/office/2006/documentManagement/types"/>
    <ds:schemaRef ds:uri="http://purl.org/dc/elements/1.1/"/>
    <ds:schemaRef ds:uri="http://schemas.microsoft.com/office/2006/metadata/properties"/>
    <ds:schemaRef ds:uri="85bd199b-54b9-4773-ad76-82f6111ff2a3"/>
    <ds:schemaRef ds:uri="88f662be-97ad-4dfc-bad8-229cb27987d4"/>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3aa72657-aade-40dc-9fe9-efcfca6458f2"/>
  </ds:schemaRefs>
</ds:datastoreItem>
</file>

<file path=customXml/itemProps2.xml><?xml version="1.0" encoding="utf-8"?>
<ds:datastoreItem xmlns:ds="http://schemas.openxmlformats.org/officeDocument/2006/customXml" ds:itemID="{A991A31D-4B34-4F2F-BFBB-C14576C717AC}"/>
</file>

<file path=customXml/itemProps3.xml><?xml version="1.0" encoding="utf-8"?>
<ds:datastoreItem xmlns:ds="http://schemas.openxmlformats.org/officeDocument/2006/customXml" ds:itemID="{3E074337-0AA3-4D89-8266-998A210783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Woolley</dc:creator>
  <keywords/>
  <dc:description/>
  <lastModifiedBy>James Woolley [jbw] (Staff)</lastModifiedBy>
  <revision>9</revision>
  <dcterms:created xsi:type="dcterms:W3CDTF">2022-06-30T12:39:00.0000000Z</dcterms:created>
  <dcterms:modified xsi:type="dcterms:W3CDTF">2024-06-21T09:00:06.9742365Z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2022-06-15T12:48:21Z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ea50a3be-84d4-4b0e-aade-957230527087</vt:lpwstr>
  </property>
  <property fmtid="{D5CDD505-2E9C-101B-9397-08002B2CF9AE}" pid="9" name="MSIP_Label_f2dfecbd-fc97-4e8a-a9cd-19ed496c406e_ContentBits">
    <vt:lpwstr>0</vt:lpwstr>
  </property>
  <property fmtid="{D5CDD505-2E9C-101B-9397-08002B2CF9AE}" pid="10" name="MediaServiceImageTags">
    <vt:lpwstr/>
  </property>
</Properties>
</file>