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9202DC7" w:rsidR="003D64F8" w:rsidRDefault="00974B07" w:rsidP="003D64F8">
      <w:pPr>
        <w:pStyle w:val="Title"/>
        <w:rPr>
          <w:lang w:val="cy-GB"/>
        </w:rPr>
      </w:pPr>
      <w:r>
        <w:rPr>
          <w:lang w:val="cy-GB"/>
        </w:rPr>
        <w:t>9</w:t>
      </w:r>
      <w:r w:rsidR="00067C7A">
        <w:rPr>
          <w:lang w:val="cy-GB"/>
        </w:rPr>
        <w:t>f</w:t>
      </w:r>
      <w:r w:rsidR="003D64F8" w:rsidRPr="006C3716">
        <w:rPr>
          <w:lang w:val="cy-GB"/>
        </w:rPr>
        <w:t>ed Gynhadledd Dysgu ac Addysgu</w:t>
      </w:r>
    </w:p>
    <w:p w14:paraId="0784E92E" w14:textId="492FEDB8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74B07">
        <w:rPr>
          <w:lang w:val="cy-GB"/>
        </w:rPr>
        <w:t>9</w:t>
      </w:r>
      <w:r w:rsidR="003D64F8">
        <w:rPr>
          <w:lang w:val="cy-GB"/>
        </w:rPr>
        <w:t>th Annual Learning and Teaching Conference</w:t>
      </w:r>
    </w:p>
    <w:p w14:paraId="10F23399" w14:textId="3CA0590E" w:rsidR="003D64F8" w:rsidRPr="006C3716" w:rsidRDefault="00974B07" w:rsidP="003D64F8">
      <w:pPr>
        <w:pStyle w:val="Title"/>
        <w:rPr>
          <w:lang w:val="cy-GB"/>
        </w:rPr>
      </w:pPr>
      <w:r>
        <w:rPr>
          <w:lang w:val="cy-GB"/>
        </w:rPr>
        <w:t>29 Mehefin –</w:t>
      </w:r>
      <w:r w:rsidR="00556BA8">
        <w:rPr>
          <w:lang w:val="cy-GB"/>
        </w:rPr>
        <w:t xml:space="preserve"> </w:t>
      </w:r>
      <w:r>
        <w:rPr>
          <w:lang w:val="cy-GB"/>
        </w:rPr>
        <w:t>2 Gorffennaf</w:t>
      </w:r>
      <w:r w:rsidR="00556BA8">
        <w:rPr>
          <w:lang w:val="cy-GB"/>
        </w:rPr>
        <w:t xml:space="preserve"> | </w:t>
      </w:r>
      <w:r>
        <w:rPr>
          <w:lang w:val="cy-GB"/>
        </w:rPr>
        <w:t>29 June – 2 July 21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07D2CFB7" w14:textId="77777777" w:rsidR="00FC18EA" w:rsidRDefault="00FC18EA" w:rsidP="00731199">
      <w:pPr>
        <w:pStyle w:val="Title"/>
      </w:pPr>
      <w:r w:rsidRPr="00FC18EA">
        <w:t>Dialogic feedback in online group tutorials</w:t>
      </w:r>
    </w:p>
    <w:p w14:paraId="0BFA0B5F" w14:textId="4284F640" w:rsidR="0019674F" w:rsidRDefault="00FC18EA" w:rsidP="00731199">
      <w:pPr>
        <w:pStyle w:val="Title"/>
      </w:pPr>
      <w:r>
        <w:t>Mary Jacob</w:t>
      </w:r>
    </w:p>
    <w:p w14:paraId="1B51B94B" w14:textId="135F77EB" w:rsidR="00C323A5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>This case study presents an approach to tutor</w:t>
      </w:r>
      <w:r w:rsidR="00BA457D">
        <w:rPr>
          <w:rFonts w:ascii="Calibri" w:eastAsia="Times New Roman" w:hAnsi="Calibri" w:cs="Calibri"/>
          <w:color w:val="000000"/>
          <w:lang w:eastAsia="en-GB"/>
        </w:rPr>
        <w:t>ing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that provides rich dialogic feedback to students through online group tutorials. We use</w:t>
      </w:r>
      <w:r w:rsidR="00B67B39">
        <w:rPr>
          <w:rFonts w:ascii="Calibri" w:eastAsia="Times New Roman" w:hAnsi="Calibri" w:cs="Calibri"/>
          <w:color w:val="000000"/>
          <w:lang w:eastAsia="en-GB"/>
        </w:rPr>
        <w:t>d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the affordances of MS Teams to promote inclusion and build a learning community in which students feel comfortable sharing with and supporting their peers. This model is adaptable to small group tutorials at any level of study, from first-year </w:t>
      </w:r>
      <w:r w:rsidR="00B67B39">
        <w:rPr>
          <w:rFonts w:ascii="Calibri" w:eastAsia="Times New Roman" w:hAnsi="Calibri" w:cs="Calibri"/>
          <w:color w:val="000000"/>
          <w:lang w:eastAsia="en-GB"/>
        </w:rPr>
        <w:t xml:space="preserve">undergraduate modules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through </w:t>
      </w:r>
      <w:r w:rsidR="00B67B39">
        <w:rPr>
          <w:rFonts w:ascii="Calibri" w:eastAsia="Times New Roman" w:hAnsi="Calibri" w:cs="Calibri"/>
          <w:color w:val="000000"/>
          <w:lang w:eastAsia="en-GB"/>
        </w:rPr>
        <w:t xml:space="preserve">postgraduate taught and research </w:t>
      </w:r>
      <w:r w:rsidRPr="00FC18EA">
        <w:rPr>
          <w:rFonts w:ascii="Calibri" w:eastAsia="Times New Roman" w:hAnsi="Calibri" w:cs="Calibri"/>
          <w:color w:val="000000"/>
          <w:lang w:eastAsia="en-GB"/>
        </w:rPr>
        <w:t>programmes.</w:t>
      </w:r>
      <w:r w:rsidR="00880BF7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43797B84" w14:textId="1A4D1CAC" w:rsidR="00FC18EA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In this session, we explore how the process worked for our groups and how it could be adapted for other teaching contexts.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    </w:t>
      </w:r>
    </w:p>
    <w:p w14:paraId="3AFD05DC" w14:textId="69247E65" w:rsidR="00FC18EA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>Chi</w:t>
      </w:r>
      <w:r w:rsidR="00FF765A">
        <w:rPr>
          <w:rFonts w:ascii="Calibri" w:eastAsia="Times New Roman" w:hAnsi="Calibri" w:cs="Calibri"/>
          <w:color w:val="000000"/>
          <w:lang w:eastAsia="en-GB"/>
        </w:rPr>
        <w:t>, Roy, and Hausmann (2008)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 found powerful evidence showing that students can learn </w:t>
      </w:r>
      <w:r w:rsidR="00FF765A">
        <w:rPr>
          <w:rFonts w:ascii="Calibri" w:eastAsia="Times New Roman" w:hAnsi="Calibri" w:cs="Calibri"/>
          <w:color w:val="000000"/>
          <w:lang w:eastAsia="en-GB"/>
        </w:rPr>
        <w:t xml:space="preserve">vicariously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when they observe other students being tutored. We used this principle in our assessment tutorials for the PGCTHE module, </w:t>
      </w:r>
      <w:r w:rsidR="00B67B39" w:rsidRPr="00C323A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PDM0530 </w:t>
      </w:r>
      <w:r w:rsidRPr="00C323A5">
        <w:rPr>
          <w:rFonts w:ascii="Calibri" w:eastAsia="Times New Roman" w:hAnsi="Calibri" w:cs="Calibri"/>
          <w:b/>
          <w:bCs/>
          <w:color w:val="000000"/>
          <w:lang w:eastAsia="en-GB"/>
        </w:rPr>
        <w:t>Action Research and Reflective Practice in Higher Education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.    </w:t>
      </w:r>
    </w:p>
    <w:p w14:paraId="32AA6F9F" w14:textId="6538CF85" w:rsidR="00FC18EA" w:rsidRDefault="00FC18EA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From past experience, I knew that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many of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my students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would 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need extra support in designing the evaluation questions for their action research projects, and that the most effective way to provide such support </w:t>
      </w:r>
      <w:r w:rsidR="00B67B39">
        <w:rPr>
          <w:rFonts w:ascii="Calibri" w:eastAsia="Times New Roman" w:hAnsi="Calibri" w:cs="Calibri"/>
          <w:color w:val="000000"/>
          <w:lang w:eastAsia="en-GB"/>
        </w:rPr>
        <w:t>i</w:t>
      </w:r>
      <w:r w:rsidRPr="00FC18EA">
        <w:rPr>
          <w:rFonts w:ascii="Calibri" w:eastAsia="Times New Roman" w:hAnsi="Calibri" w:cs="Calibri"/>
          <w:color w:val="000000"/>
          <w:lang w:eastAsia="en-GB"/>
        </w:rPr>
        <w:t xml:space="preserve">s through consultations where we discuss the specifics of their projects. Previously, this took place through individual consultations in my office, after which I would send a follow-up email to reinforce key points.    </w:t>
      </w:r>
    </w:p>
    <w:p w14:paraId="21DB313F" w14:textId="15E14A61" w:rsidR="00FC18EA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Since the lockdown in response to Covid,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I </w:t>
      </w:r>
      <w:r w:rsidR="00A928A3">
        <w:rPr>
          <w:rFonts w:ascii="Calibri" w:eastAsia="Times New Roman" w:hAnsi="Calibri" w:cs="Calibri"/>
          <w:color w:val="000000"/>
          <w:lang w:eastAsia="en-GB"/>
        </w:rPr>
        <w:t xml:space="preserve">have been </w:t>
      </w:r>
      <w:r>
        <w:rPr>
          <w:rFonts w:ascii="Calibri" w:eastAsia="Times New Roman" w:hAnsi="Calibri" w:cs="Calibri"/>
          <w:color w:val="000000"/>
          <w:lang w:eastAsia="en-GB"/>
        </w:rPr>
        <w:t>r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>un</w:t>
      </w:r>
      <w:r w:rsidR="00A928A3">
        <w:rPr>
          <w:rFonts w:ascii="Calibri" w:eastAsia="Times New Roman" w:hAnsi="Calibri" w:cs="Calibri"/>
          <w:color w:val="000000"/>
          <w:lang w:eastAsia="en-GB"/>
        </w:rPr>
        <w:t>ning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these as small group </w:t>
      </w:r>
      <w:r w:rsidR="00A928A3">
        <w:rPr>
          <w:rFonts w:ascii="Calibri" w:eastAsia="Times New Roman" w:hAnsi="Calibri" w:cs="Calibri"/>
          <w:color w:val="000000"/>
          <w:lang w:eastAsia="en-GB"/>
        </w:rPr>
        <w:t>tutorials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928A3">
        <w:rPr>
          <w:rFonts w:ascii="Calibri" w:eastAsia="Times New Roman" w:hAnsi="Calibri" w:cs="Calibri"/>
          <w:color w:val="000000"/>
          <w:lang w:eastAsia="en-GB"/>
        </w:rPr>
        <w:t>online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. We use the affordance of Teams to provide rich feedback and capture the dialogue as it develops. Students can refer to the text chat </w:t>
      </w:r>
      <w:r w:rsidR="0021137B">
        <w:rPr>
          <w:rFonts w:ascii="Calibri" w:eastAsia="Times New Roman" w:hAnsi="Calibri" w:cs="Calibri"/>
          <w:color w:val="000000"/>
          <w:lang w:eastAsia="en-GB"/>
        </w:rPr>
        <w:t xml:space="preserve">later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for details, and thus don't have to rely on their own notes. 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tudents have said that they </w:t>
      </w:r>
      <w:r>
        <w:rPr>
          <w:rFonts w:ascii="Calibri" w:eastAsia="Times New Roman" w:hAnsi="Calibri" w:cs="Calibri"/>
          <w:color w:val="000000"/>
          <w:lang w:eastAsia="en-GB"/>
        </w:rPr>
        <w:t xml:space="preserve">not only learn from the portion of the session in which we discuss their own projects, but also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from </w:t>
      </w:r>
      <w:r>
        <w:rPr>
          <w:rFonts w:ascii="Calibri" w:eastAsia="Times New Roman" w:hAnsi="Calibri" w:cs="Calibri"/>
          <w:color w:val="000000"/>
          <w:lang w:eastAsia="en-GB"/>
        </w:rPr>
        <w:t>the discussion around their peers’ projects as well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.     </w:t>
      </w:r>
    </w:p>
    <w:p w14:paraId="53F730D0" w14:textId="6B857A10" w:rsidR="00C323A5" w:rsidRDefault="00880BF7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Several factors are key to implementing such a session effectively.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Active listening </w:t>
      </w:r>
      <w:r w:rsidR="00C323A5">
        <w:rPr>
          <w:rFonts w:ascii="Calibri" w:eastAsia="Times New Roman" w:hAnsi="Calibri" w:cs="Calibri"/>
          <w:color w:val="000000"/>
          <w:lang w:eastAsia="en-GB"/>
        </w:rPr>
        <w:t xml:space="preserve">(Rogers, 1987) 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>and strength-based feedback (</w:t>
      </w:r>
      <w:r w:rsidR="00CA49EA">
        <w:rPr>
          <w:rFonts w:ascii="Calibri" w:eastAsia="Times New Roman" w:hAnsi="Calibri" w:cs="Calibri"/>
          <w:color w:val="000000"/>
          <w:lang w:eastAsia="en-GB"/>
        </w:rPr>
        <w:t>Louis, 2015)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are </w:t>
      </w:r>
      <w:r>
        <w:rPr>
          <w:rFonts w:ascii="Calibri" w:eastAsia="Times New Roman" w:hAnsi="Calibri" w:cs="Calibri"/>
          <w:color w:val="000000"/>
          <w:lang w:eastAsia="en-GB"/>
        </w:rPr>
        <w:t>essential for</w:t>
      </w:r>
      <w:r w:rsidR="00FC18EA" w:rsidRPr="00FC18EA">
        <w:rPr>
          <w:rFonts w:ascii="Calibri" w:eastAsia="Times New Roman" w:hAnsi="Calibri" w:cs="Calibri"/>
          <w:color w:val="000000"/>
          <w:lang w:eastAsia="en-GB"/>
        </w:rPr>
        <w:t xml:space="preserve"> building trust and inclusion.</w:t>
      </w:r>
      <w:r w:rsidR="00C323A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9138D">
        <w:rPr>
          <w:rFonts w:ascii="Calibri" w:eastAsia="Times New Roman" w:hAnsi="Calibri" w:cs="Calibri"/>
          <w:color w:val="000000"/>
          <w:lang w:eastAsia="en-GB"/>
        </w:rPr>
        <w:t xml:space="preserve">In our </w:t>
      </w:r>
      <w:r w:rsidR="0039138D">
        <w:rPr>
          <w:rFonts w:ascii="Calibri" w:eastAsia="Times New Roman" w:hAnsi="Calibri" w:cs="Calibri"/>
          <w:color w:val="000000"/>
          <w:lang w:eastAsia="en-GB"/>
        </w:rPr>
        <w:lastRenderedPageBreak/>
        <w:t>conference session, we will hold an interactive discussion to explore ways that these principles can be applied in your own teaching contexts.</w:t>
      </w:r>
    </w:p>
    <w:p w14:paraId="7AA89818" w14:textId="2A5168B0" w:rsidR="005137E0" w:rsidRDefault="005137E0" w:rsidP="005137E0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Sources cited</w:t>
      </w:r>
    </w:p>
    <w:p w14:paraId="34774345" w14:textId="6D971899" w:rsidR="00B67B39" w:rsidRDefault="00B67B39" w:rsidP="00FC18EA">
      <w:pPr>
        <w:rPr>
          <w:rFonts w:ascii="Calibri" w:eastAsia="Times New Roman" w:hAnsi="Calibri" w:cs="Calibri"/>
          <w:color w:val="000000"/>
          <w:lang w:eastAsia="en-GB"/>
        </w:rPr>
      </w:pPr>
      <w:r w:rsidRPr="00B67B39">
        <w:rPr>
          <w:rFonts w:ascii="Calibri" w:eastAsia="Times New Roman" w:hAnsi="Calibri" w:cs="Calibri"/>
          <w:color w:val="000000"/>
          <w:lang w:eastAsia="en-GB"/>
        </w:rPr>
        <w:t>Chi, M. T., Roy, M., &amp; Hausmann, R. G. (2008). Observing tutorial dialogues collaboratively: insights about human tutoring effectiveness from vicarious learning. </w:t>
      </w:r>
      <w:r w:rsidRPr="00B67B39">
        <w:rPr>
          <w:rFonts w:ascii="Calibri" w:eastAsia="Times New Roman" w:hAnsi="Calibri" w:cs="Calibri"/>
          <w:i/>
          <w:iCs/>
          <w:color w:val="000000"/>
          <w:lang w:eastAsia="en-GB"/>
        </w:rPr>
        <w:t>Cognitive science</w:t>
      </w:r>
      <w:r w:rsidRPr="00B67B39">
        <w:rPr>
          <w:rFonts w:ascii="Calibri" w:eastAsia="Times New Roman" w:hAnsi="Calibri" w:cs="Calibri"/>
          <w:color w:val="000000"/>
          <w:lang w:eastAsia="en-GB"/>
        </w:rPr>
        <w:t>, </w:t>
      </w:r>
      <w:r w:rsidRPr="00B67B39">
        <w:rPr>
          <w:rFonts w:ascii="Calibri" w:eastAsia="Times New Roman" w:hAnsi="Calibri" w:cs="Calibri"/>
          <w:i/>
          <w:iCs/>
          <w:color w:val="000000"/>
          <w:lang w:eastAsia="en-GB"/>
        </w:rPr>
        <w:t>32</w:t>
      </w:r>
      <w:r w:rsidRPr="00B67B39">
        <w:rPr>
          <w:rFonts w:ascii="Calibri" w:eastAsia="Times New Roman" w:hAnsi="Calibri" w:cs="Calibri"/>
          <w:color w:val="000000"/>
          <w:lang w:eastAsia="en-GB"/>
        </w:rPr>
        <w:t xml:space="preserve">(2), 301–341. </w:t>
      </w:r>
      <w:hyperlink r:id="rId5" w:history="1">
        <w:r w:rsidRPr="008419FB">
          <w:rPr>
            <w:rStyle w:val="Hyperlink"/>
            <w:rFonts w:ascii="Calibri" w:eastAsia="Times New Roman" w:hAnsi="Calibri" w:cs="Calibri"/>
            <w:lang w:eastAsia="en-GB"/>
          </w:rPr>
          <w:t>https://doi.org/10.1080/03640210701863396</w:t>
        </w:r>
      </w:hyperlink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897881D" w14:textId="450FCED8" w:rsidR="00EE4CD9" w:rsidRDefault="00EE4CD9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Louis, M. (2015). </w:t>
      </w:r>
      <w:r w:rsidRPr="00EE4CD9">
        <w:rPr>
          <w:rFonts w:eastAsia="Times New Roman" w:cs="Calibri"/>
          <w:color w:val="000000"/>
        </w:rPr>
        <w:t>Offering Feedback to Students from a Strengths Perspective</w:t>
      </w:r>
      <w:r>
        <w:rPr>
          <w:rFonts w:eastAsia="Times New Roman" w:cs="Calibri"/>
          <w:color w:val="000000"/>
        </w:rPr>
        <w:t xml:space="preserve">. </w:t>
      </w:r>
      <w:proofErr w:type="spellStart"/>
      <w:r>
        <w:rPr>
          <w:rFonts w:eastAsia="Times New Roman" w:cs="Calibri"/>
          <w:color w:val="000000"/>
        </w:rPr>
        <w:t>Noba</w:t>
      </w:r>
      <w:proofErr w:type="spellEnd"/>
      <w:r>
        <w:rPr>
          <w:rFonts w:eastAsia="Times New Roman" w:cs="Calibri"/>
          <w:color w:val="000000"/>
        </w:rPr>
        <w:t xml:space="preserve"> Blog. </w:t>
      </w:r>
      <w:hyperlink r:id="rId6" w:history="1">
        <w:r w:rsidRPr="008419FB">
          <w:rPr>
            <w:rStyle w:val="Hyperlink"/>
            <w:rFonts w:eastAsia="Times New Roman" w:cs="Calibri"/>
          </w:rPr>
          <w:t>https://nobaproject.com/blog/2015-03-02-offering-feedback-to-students-from-a-strengths-perspective</w:t>
        </w:r>
      </w:hyperlink>
      <w:r>
        <w:rPr>
          <w:rFonts w:eastAsia="Times New Roman" w:cs="Calibri"/>
          <w:color w:val="000000"/>
        </w:rPr>
        <w:t xml:space="preserve"> </w:t>
      </w:r>
    </w:p>
    <w:p w14:paraId="36A7CA80" w14:textId="2C72FE10" w:rsidR="00C323A5" w:rsidRDefault="00C323A5" w:rsidP="00FC18EA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Rogers, C. R. &amp;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Farson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>, R. E. (1987).</w:t>
      </w:r>
      <w:r w:rsidR="00E0118F" w:rsidRPr="00E0118F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E0118F" w:rsidRPr="00E0118F">
        <w:rPr>
          <w:rFonts w:ascii="Calibri" w:eastAsia="Times New Roman" w:hAnsi="Calibri" w:cs="Calibri"/>
          <w:color w:val="000000"/>
          <w:lang w:eastAsia="en-GB"/>
        </w:rPr>
        <w:t>Active Listening</w:t>
      </w:r>
      <w:r w:rsidR="00E0118F">
        <w:rPr>
          <w:rFonts w:ascii="Calibri" w:eastAsia="Times New Roman" w:hAnsi="Calibri" w:cs="Calibri"/>
          <w:color w:val="000000"/>
          <w:lang w:eastAsia="en-GB"/>
        </w:rPr>
        <w:t>.</w:t>
      </w:r>
      <w:r w:rsidR="00E0118F" w:rsidRPr="00E0118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118F" w:rsidRPr="00E0118F">
        <w:rPr>
          <w:rFonts w:ascii="Calibri" w:eastAsia="Times New Roman" w:hAnsi="Calibri" w:cs="Calibri"/>
          <w:i/>
          <w:iCs/>
          <w:color w:val="000000"/>
          <w:lang w:eastAsia="en-GB"/>
        </w:rPr>
        <w:t>Communication in Business Today</w:t>
      </w:r>
      <w:r w:rsidR="00E0118F" w:rsidRPr="00E0118F">
        <w:rPr>
          <w:rFonts w:ascii="Calibri" w:eastAsia="Times New Roman" w:hAnsi="Calibri" w:cs="Calibri"/>
          <w:color w:val="000000"/>
          <w:lang w:eastAsia="en-GB"/>
        </w:rPr>
        <w:t>. Ed. R. G. Newman, M. A. Danziger, and M. Cohen. Washington, D.C.: Heath and Company</w:t>
      </w:r>
      <w:r w:rsidR="00E0118F">
        <w:rPr>
          <w:rFonts w:ascii="Calibri" w:eastAsia="Times New Roman" w:hAnsi="Calibri" w:cs="Calibri"/>
          <w:color w:val="000000"/>
          <w:lang w:eastAsia="en-GB"/>
        </w:rPr>
        <w:t xml:space="preserve">. Excerpted in </w:t>
      </w:r>
      <w:proofErr w:type="spellStart"/>
      <w:r w:rsidR="00E0118F" w:rsidRPr="00E0118F">
        <w:rPr>
          <w:rFonts w:ascii="Calibri" w:eastAsia="Times New Roman" w:hAnsi="Calibri" w:cs="Calibri"/>
          <w:i/>
          <w:iCs/>
          <w:color w:val="000000"/>
          <w:lang w:eastAsia="en-GB"/>
        </w:rPr>
        <w:t>Wholebeing</w:t>
      </w:r>
      <w:proofErr w:type="spellEnd"/>
      <w:r w:rsidR="00E0118F" w:rsidRPr="00E0118F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Institute</w:t>
      </w:r>
      <w:r w:rsidR="00E0118F">
        <w:rPr>
          <w:rFonts w:ascii="Calibri" w:eastAsia="Times New Roman" w:hAnsi="Calibri" w:cs="Calibri"/>
          <w:color w:val="000000"/>
          <w:lang w:eastAsia="en-GB"/>
        </w:rPr>
        <w:t xml:space="preserve">. </w:t>
      </w:r>
      <w:hyperlink r:id="rId7" w:history="1">
        <w:r w:rsidR="00E0118F" w:rsidRPr="008419FB">
          <w:rPr>
            <w:rStyle w:val="Hyperlink"/>
            <w:rFonts w:ascii="Calibri" w:eastAsia="Times New Roman" w:hAnsi="Calibri" w:cs="Calibri"/>
            <w:lang w:eastAsia="en-GB"/>
          </w:rPr>
          <w:t>https://wholebeinginstitute.com/wp-content/uploads/Rogers_Farson_Active-Listening.pdf</w:t>
        </w:r>
      </w:hyperlink>
      <w:r w:rsidR="00E0118F">
        <w:rPr>
          <w:rFonts w:ascii="Calibri" w:eastAsia="Times New Roman" w:hAnsi="Calibri" w:cs="Calibri"/>
          <w:color w:val="000000"/>
          <w:lang w:eastAsia="en-GB"/>
        </w:rPr>
        <w:t xml:space="preserve">   </w:t>
      </w:r>
    </w:p>
    <w:p w14:paraId="6FBB2471" w14:textId="25838B55" w:rsidR="000A3BE7" w:rsidRPr="00593F64" w:rsidRDefault="000A3BE7" w:rsidP="00FC18EA"/>
    <w:sectPr w:rsidR="000A3BE7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457"/>
    <w:multiLevelType w:val="hybridMultilevel"/>
    <w:tmpl w:val="63B2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A0606"/>
    <w:multiLevelType w:val="hybridMultilevel"/>
    <w:tmpl w:val="81E2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A3BE7"/>
    <w:rsid w:val="000E5D10"/>
    <w:rsid w:val="000F14F1"/>
    <w:rsid w:val="00170364"/>
    <w:rsid w:val="0017474B"/>
    <w:rsid w:val="001843D0"/>
    <w:rsid w:val="0019674F"/>
    <w:rsid w:val="001F086E"/>
    <w:rsid w:val="0021137B"/>
    <w:rsid w:val="0021727B"/>
    <w:rsid w:val="00230E3E"/>
    <w:rsid w:val="00250D59"/>
    <w:rsid w:val="002D50F5"/>
    <w:rsid w:val="00356541"/>
    <w:rsid w:val="0039138D"/>
    <w:rsid w:val="00394D91"/>
    <w:rsid w:val="003B3B51"/>
    <w:rsid w:val="003D58D3"/>
    <w:rsid w:val="003D64F8"/>
    <w:rsid w:val="003E171D"/>
    <w:rsid w:val="0047143F"/>
    <w:rsid w:val="00482595"/>
    <w:rsid w:val="004E4F51"/>
    <w:rsid w:val="004F66CA"/>
    <w:rsid w:val="00501309"/>
    <w:rsid w:val="005137E0"/>
    <w:rsid w:val="0053311B"/>
    <w:rsid w:val="00535A90"/>
    <w:rsid w:val="005561A7"/>
    <w:rsid w:val="00556BA8"/>
    <w:rsid w:val="00593F64"/>
    <w:rsid w:val="005C3EC1"/>
    <w:rsid w:val="006800D6"/>
    <w:rsid w:val="006D7D68"/>
    <w:rsid w:val="00710E42"/>
    <w:rsid w:val="0071672B"/>
    <w:rsid w:val="00731199"/>
    <w:rsid w:val="007519A5"/>
    <w:rsid w:val="00794426"/>
    <w:rsid w:val="00880BF7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A928A3"/>
    <w:rsid w:val="00B06CD8"/>
    <w:rsid w:val="00B67B39"/>
    <w:rsid w:val="00BA457D"/>
    <w:rsid w:val="00BA57BF"/>
    <w:rsid w:val="00C323A5"/>
    <w:rsid w:val="00C33E57"/>
    <w:rsid w:val="00C4591B"/>
    <w:rsid w:val="00C46CBC"/>
    <w:rsid w:val="00C513E1"/>
    <w:rsid w:val="00CA49EA"/>
    <w:rsid w:val="00CD129A"/>
    <w:rsid w:val="00CD474E"/>
    <w:rsid w:val="00CF77F2"/>
    <w:rsid w:val="00D34F51"/>
    <w:rsid w:val="00D45533"/>
    <w:rsid w:val="00DD2C90"/>
    <w:rsid w:val="00DF4731"/>
    <w:rsid w:val="00E0118F"/>
    <w:rsid w:val="00E246F6"/>
    <w:rsid w:val="00E50EC1"/>
    <w:rsid w:val="00E75B78"/>
    <w:rsid w:val="00E906DD"/>
    <w:rsid w:val="00EE0425"/>
    <w:rsid w:val="00EE4CD9"/>
    <w:rsid w:val="00EF2C4E"/>
    <w:rsid w:val="00F07A8E"/>
    <w:rsid w:val="00F528BD"/>
    <w:rsid w:val="00FC18EA"/>
    <w:rsid w:val="00FC1B5C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1199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31199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31199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731199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table" w:styleId="TableGrid">
    <w:name w:val="Table Grid"/>
    <w:basedOn w:val="TableNormal"/>
    <w:uiPriority w:val="39"/>
    <w:rsid w:val="006D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7B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37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olebeinginstitute.com/wp-content/uploads/Rogers_Farson_Active-Listen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baproject.com/blog/2015-03-02-offering-feedback-to-students-from-a-strengths-perspective" TargetMode="External"/><Relationship Id="rId5" Type="http://schemas.openxmlformats.org/officeDocument/2006/relationships/hyperlink" Target="https://doi.org/10.1080/036402107018633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James Woolley</cp:lastModifiedBy>
  <cp:revision>3</cp:revision>
  <dcterms:created xsi:type="dcterms:W3CDTF">2021-05-10T07:18:00Z</dcterms:created>
  <dcterms:modified xsi:type="dcterms:W3CDTF">2021-05-10T12:14:00Z</dcterms:modified>
</cp:coreProperties>
</file>