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C992C" w14:textId="77777777" w:rsidR="00820843" w:rsidRPr="006C3716" w:rsidRDefault="00820843" w:rsidP="00820843">
      <w:pPr>
        <w:pStyle w:val="Title"/>
        <w:rPr>
          <w:lang w:val="cy-GB"/>
        </w:rPr>
      </w:pPr>
      <w:r>
        <w:rPr>
          <w:lang w:val="cy-GB"/>
        </w:rPr>
        <w:t>Mini Conference: Advice for Action – Promoting Good Feedback Practice</w:t>
      </w:r>
    </w:p>
    <w:p w14:paraId="5A8CE927" w14:textId="77777777" w:rsidR="00820843" w:rsidRPr="006C3716" w:rsidRDefault="00820843" w:rsidP="00820843">
      <w:pPr>
        <w:pStyle w:val="Title"/>
        <w:rPr>
          <w:lang w:val="cy-GB"/>
        </w:rPr>
      </w:pPr>
      <w:r>
        <w:rPr>
          <w:lang w:val="cy-GB"/>
        </w:rPr>
        <w:t>16 Rhagfyr | December 2020</w:t>
      </w:r>
    </w:p>
    <w:p w14:paraId="6AD95189" w14:textId="77777777" w:rsidR="00820843" w:rsidRDefault="00820843" w:rsidP="00820843">
      <w:pPr>
        <w:pStyle w:val="Heading1"/>
        <w:rPr>
          <w:lang w:val="cy-GB"/>
        </w:rPr>
      </w:pPr>
      <w:r>
        <w:rPr>
          <w:lang w:val="cy-GB"/>
        </w:rPr>
        <w:t>Crynoldebau / abstracts</w:t>
      </w:r>
    </w:p>
    <w:p w14:paraId="2E19E2D7" w14:textId="2B92BDFE" w:rsidR="00820843" w:rsidRDefault="00F01ECC" w:rsidP="00820843">
      <w:pPr>
        <w:pStyle w:val="ListParagraph"/>
        <w:jc w:val="right"/>
        <w:rPr>
          <w:rFonts w:ascii="Calibri" w:eastAsia="SimSun" w:hAnsi="Calibri" w:cs="DejaVu Sans"/>
          <w:smallCaps/>
          <w:sz w:val="48"/>
          <w:szCs w:val="48"/>
        </w:rPr>
      </w:pPr>
      <w:r>
        <w:rPr>
          <w:rFonts w:ascii="Calibri" w:eastAsia="SimSun" w:hAnsi="Calibri" w:cs="DejaVu Sans"/>
          <w:smallCaps/>
          <w:sz w:val="48"/>
          <w:szCs w:val="48"/>
        </w:rPr>
        <w:t>Writing Better Assignments in the Post-Covid19 Era</w:t>
      </w:r>
    </w:p>
    <w:p w14:paraId="32202580" w14:textId="4C153AB2" w:rsidR="00820843" w:rsidRPr="00B85BC8" w:rsidRDefault="00F01ECC" w:rsidP="00820843">
      <w:pPr>
        <w:pStyle w:val="ListParagraph"/>
        <w:jc w:val="right"/>
        <w:rPr>
          <w:rFonts w:ascii="Calibri" w:eastAsia="SimSun" w:hAnsi="Calibri" w:cs="DejaVu Sans"/>
          <w:smallCaps/>
          <w:sz w:val="48"/>
          <w:szCs w:val="48"/>
        </w:rPr>
      </w:pPr>
      <w:r>
        <w:rPr>
          <w:rFonts w:ascii="Calibri" w:eastAsia="SimSun" w:hAnsi="Calibri" w:cs="DejaVu Sans"/>
          <w:smallCaps/>
          <w:sz w:val="48"/>
          <w:szCs w:val="48"/>
        </w:rPr>
        <w:t>Mary Jacob</w:t>
      </w:r>
    </w:p>
    <w:p w14:paraId="5C2862EC" w14:textId="77777777" w:rsidR="00F01ECC" w:rsidRPr="00F01ECC" w:rsidRDefault="00F01ECC" w:rsidP="00F01ECC">
      <w:r w:rsidRPr="00F01ECC">
        <w:t>Mini-conference discussion led by Mary Jacob</w:t>
      </w:r>
    </w:p>
    <w:p w14:paraId="1467D0E7" w14:textId="77777777" w:rsidR="00F01ECC" w:rsidRPr="00F01ECC" w:rsidRDefault="00F01ECC" w:rsidP="00F01ECC">
      <w:r w:rsidRPr="00F01ECC">
        <w:t>In this session, we will discuss a recent article by Kay Sambell and Sally Brown and apply their model to our own teaching. This is an interactive session in which participants are expected to have read the article and come ready with some ideas to discuss.</w:t>
      </w:r>
    </w:p>
    <w:p w14:paraId="6DC5E73C" w14:textId="77777777" w:rsidR="00F01ECC" w:rsidRPr="00F01ECC" w:rsidRDefault="00F01ECC" w:rsidP="00F01ECC">
      <w:r w:rsidRPr="00F01ECC">
        <w:t>The article is “Writing better assessments in the post-</w:t>
      </w:r>
      <w:proofErr w:type="spellStart"/>
      <w:r w:rsidRPr="00F01ECC">
        <w:t>Covid</w:t>
      </w:r>
      <w:proofErr w:type="spellEnd"/>
      <w:r w:rsidRPr="00F01ECC">
        <w:t xml:space="preserve"> era”, available as part of their </w:t>
      </w:r>
      <w:hyperlink r:id="rId5" w:history="1">
        <w:r w:rsidRPr="00F01ECC">
          <w:rPr>
            <w:rStyle w:val="Hyperlink"/>
            <w:b/>
            <w:bCs/>
          </w:rPr>
          <w:t>Covid-19 Assessment Collection</w:t>
        </w:r>
      </w:hyperlink>
      <w:r w:rsidRPr="00F01ECC">
        <w:t xml:space="preserve">. This article is full of practical suggestions and concrete examples across a range of disciplines. </w:t>
      </w:r>
    </w:p>
    <w:p w14:paraId="5C44E746" w14:textId="77777777" w:rsidR="00F01ECC" w:rsidRPr="00F01ECC" w:rsidRDefault="00F01ECC" w:rsidP="00F01ECC">
      <w:r w:rsidRPr="00F01ECC">
        <w:t xml:space="preserve">We will use a shared document during our Teams session to collect your ideas together and structure our conversation. Participants can then download the shared document for reference. </w:t>
      </w:r>
    </w:p>
    <w:p w14:paraId="5A6959A5" w14:textId="77777777" w:rsidR="00F01ECC" w:rsidRPr="00F01ECC" w:rsidRDefault="00F01ECC" w:rsidP="00F01ECC">
      <w:r w:rsidRPr="00F01ECC">
        <w:t>Preparation task</w:t>
      </w:r>
    </w:p>
    <w:p w14:paraId="16A0FA64" w14:textId="77777777" w:rsidR="00F01ECC" w:rsidRPr="00F01ECC" w:rsidRDefault="00F01ECC" w:rsidP="00F01ECC">
      <w:pPr>
        <w:numPr>
          <w:ilvl w:val="0"/>
          <w:numId w:val="1"/>
        </w:numPr>
      </w:pPr>
      <w:r w:rsidRPr="00F01ECC">
        <w:t xml:space="preserve">Read the </w:t>
      </w:r>
      <w:hyperlink r:id="rId6" w:history="1">
        <w:r w:rsidRPr="00F01ECC">
          <w:rPr>
            <w:rStyle w:val="Hyperlink"/>
            <w:b/>
            <w:bCs/>
          </w:rPr>
          <w:t>main article</w:t>
        </w:r>
      </w:hyperlink>
      <w:r w:rsidRPr="00F01ECC">
        <w:t xml:space="preserve"> and consider how you can apply it to your own teaching. (required)</w:t>
      </w:r>
    </w:p>
    <w:p w14:paraId="38B293F0" w14:textId="77777777" w:rsidR="00F01ECC" w:rsidRPr="00F01ECC" w:rsidRDefault="00F01ECC" w:rsidP="00F01ECC">
      <w:pPr>
        <w:numPr>
          <w:ilvl w:val="0"/>
          <w:numId w:val="1"/>
        </w:numPr>
      </w:pPr>
      <w:r w:rsidRPr="00F01ECC">
        <w:t xml:space="preserve">Look at the </w:t>
      </w:r>
      <w:hyperlink r:id="rId7" w:history="1">
        <w:r w:rsidRPr="00F01ECC">
          <w:rPr>
            <w:rStyle w:val="Hyperlink"/>
            <w:b/>
            <w:bCs/>
          </w:rPr>
          <w:t>visual poster</w:t>
        </w:r>
      </w:hyperlink>
      <w:r w:rsidRPr="00F01ECC">
        <w:t xml:space="preserve"> and </w:t>
      </w:r>
      <w:hyperlink r:id="rId8" w:history="1">
        <w:r w:rsidRPr="00F01ECC">
          <w:rPr>
            <w:rStyle w:val="Hyperlink"/>
            <w:b/>
            <w:bCs/>
          </w:rPr>
          <w:t>Tips for Teaching Professors: authentic assessment</w:t>
        </w:r>
      </w:hyperlink>
      <w:r w:rsidRPr="00F01ECC">
        <w:rPr>
          <w:b/>
          <w:bCs/>
        </w:rPr>
        <w:t>.</w:t>
      </w:r>
      <w:r w:rsidRPr="00F01ECC">
        <w:t xml:space="preserve"> (optional)</w:t>
      </w:r>
    </w:p>
    <w:p w14:paraId="35E22E36" w14:textId="77777777" w:rsidR="00F01ECC" w:rsidRPr="00F01ECC" w:rsidRDefault="00F01ECC" w:rsidP="00F01ECC">
      <w:pPr>
        <w:numPr>
          <w:ilvl w:val="0"/>
          <w:numId w:val="1"/>
        </w:numPr>
      </w:pPr>
      <w:r w:rsidRPr="00F01ECC">
        <w:t xml:space="preserve">Draft a learning outcome and assessment task for one of your own modules, applying Sambell and Brown’s model. During the session, you will share your outcome and assessment in the table below. This will form the basis of our discussion. </w:t>
      </w:r>
    </w:p>
    <w:p w14:paraId="4113A728" w14:textId="77777777" w:rsidR="00F01ECC" w:rsidRPr="00F01ECC" w:rsidRDefault="00F01ECC" w:rsidP="00F01ECC">
      <w:r w:rsidRPr="00F01ECC">
        <w:lastRenderedPageBreak/>
        <w:t>Session task</w:t>
      </w:r>
    </w:p>
    <w:p w14:paraId="2A0085B2" w14:textId="77777777" w:rsidR="00F01ECC" w:rsidRPr="00F01ECC" w:rsidRDefault="00F01ECC" w:rsidP="00F01ECC">
      <w:r w:rsidRPr="00F01ECC">
        <w:t>Add your learning outcome and assessment task into a blank row in the table below. I have included an outcome from the article, as an example.</w:t>
      </w:r>
    </w:p>
    <w:tbl>
      <w:tblPr>
        <w:tblStyle w:val="TableGrid"/>
        <w:tblW w:w="5000" w:type="pct"/>
        <w:tblLook w:val="04A0" w:firstRow="1" w:lastRow="0" w:firstColumn="1" w:lastColumn="0" w:noHBand="0" w:noVBand="1"/>
      </w:tblPr>
      <w:tblGrid>
        <w:gridCol w:w="3227"/>
        <w:gridCol w:w="1825"/>
        <w:gridCol w:w="2795"/>
        <w:gridCol w:w="2525"/>
        <w:gridCol w:w="3576"/>
      </w:tblGrid>
      <w:tr w:rsidR="00F01ECC" w:rsidRPr="00F01ECC" w14:paraId="0C7B5164" w14:textId="77777777" w:rsidTr="00F01ECC">
        <w:trPr>
          <w:cantSplit/>
          <w:tblHeader/>
        </w:trPr>
        <w:tc>
          <w:tcPr>
            <w:tcW w:w="1157" w:type="pct"/>
            <w:tcBorders>
              <w:top w:val="single" w:sz="4" w:space="0" w:color="auto"/>
              <w:left w:val="single" w:sz="4" w:space="0" w:color="auto"/>
              <w:bottom w:val="single" w:sz="4" w:space="0" w:color="auto"/>
              <w:right w:val="single" w:sz="4" w:space="0" w:color="auto"/>
            </w:tcBorders>
            <w:hideMark/>
          </w:tcPr>
          <w:p w14:paraId="7115C12C" w14:textId="77777777" w:rsidR="00F01ECC" w:rsidRPr="00F01ECC" w:rsidRDefault="00F01ECC" w:rsidP="00F01ECC">
            <w:pPr>
              <w:spacing w:after="160" w:line="259" w:lineRule="auto"/>
              <w:rPr>
                <w:b/>
                <w:bCs/>
              </w:rPr>
            </w:pPr>
            <w:bookmarkStart w:id="0" w:name="_Hlk48471075"/>
            <w:r w:rsidRPr="00F01ECC">
              <w:rPr>
                <w:b/>
                <w:bCs/>
              </w:rPr>
              <w:t>Context relevant to your subject area</w:t>
            </w:r>
            <w:bookmarkEnd w:id="0"/>
          </w:p>
        </w:tc>
        <w:tc>
          <w:tcPr>
            <w:tcW w:w="654" w:type="pct"/>
            <w:tcBorders>
              <w:top w:val="single" w:sz="4" w:space="0" w:color="auto"/>
              <w:left w:val="single" w:sz="4" w:space="0" w:color="auto"/>
              <w:bottom w:val="single" w:sz="4" w:space="0" w:color="auto"/>
              <w:right w:val="single" w:sz="4" w:space="0" w:color="auto"/>
            </w:tcBorders>
            <w:hideMark/>
          </w:tcPr>
          <w:p w14:paraId="6AA0A812" w14:textId="77777777" w:rsidR="00F01ECC" w:rsidRPr="00F01ECC" w:rsidRDefault="00F01ECC" w:rsidP="00F01ECC">
            <w:pPr>
              <w:spacing w:after="160" w:line="259" w:lineRule="auto"/>
              <w:rPr>
                <w:b/>
                <w:bCs/>
              </w:rPr>
            </w:pPr>
            <w:r w:rsidRPr="00F01ECC">
              <w:rPr>
                <w:b/>
                <w:bCs/>
              </w:rPr>
              <w:t>Verb/educational outcomes</w:t>
            </w:r>
          </w:p>
        </w:tc>
        <w:tc>
          <w:tcPr>
            <w:tcW w:w="1002" w:type="pct"/>
            <w:tcBorders>
              <w:top w:val="single" w:sz="4" w:space="0" w:color="auto"/>
              <w:left w:val="single" w:sz="4" w:space="0" w:color="auto"/>
              <w:bottom w:val="single" w:sz="4" w:space="0" w:color="auto"/>
              <w:right w:val="single" w:sz="4" w:space="0" w:color="auto"/>
            </w:tcBorders>
            <w:hideMark/>
          </w:tcPr>
          <w:p w14:paraId="305CBABE" w14:textId="77777777" w:rsidR="00F01ECC" w:rsidRPr="00F01ECC" w:rsidRDefault="00F01ECC" w:rsidP="00F01ECC">
            <w:pPr>
              <w:spacing w:after="160" w:line="259" w:lineRule="auto"/>
              <w:rPr>
                <w:b/>
                <w:bCs/>
              </w:rPr>
            </w:pPr>
            <w:r w:rsidRPr="00F01ECC">
              <w:rPr>
                <w:b/>
                <w:bCs/>
              </w:rPr>
              <w:t>What? i.e. object</w:t>
            </w:r>
          </w:p>
        </w:tc>
        <w:tc>
          <w:tcPr>
            <w:tcW w:w="905" w:type="pct"/>
            <w:tcBorders>
              <w:top w:val="single" w:sz="4" w:space="0" w:color="auto"/>
              <w:left w:val="single" w:sz="4" w:space="0" w:color="auto"/>
              <w:bottom w:val="single" w:sz="4" w:space="0" w:color="auto"/>
              <w:right w:val="single" w:sz="4" w:space="0" w:color="auto"/>
            </w:tcBorders>
            <w:hideMark/>
          </w:tcPr>
          <w:p w14:paraId="7074DCB1" w14:textId="77777777" w:rsidR="00F01ECC" w:rsidRPr="00F01ECC" w:rsidRDefault="00F01ECC" w:rsidP="00F01ECC">
            <w:pPr>
              <w:spacing w:after="160" w:line="259" w:lineRule="auto"/>
              <w:rPr>
                <w:b/>
                <w:bCs/>
              </w:rPr>
            </w:pPr>
            <w:r w:rsidRPr="00F01ECC">
              <w:rPr>
                <w:b/>
                <w:bCs/>
              </w:rPr>
              <w:t>Outcome/evidence of achievement</w:t>
            </w:r>
          </w:p>
        </w:tc>
        <w:tc>
          <w:tcPr>
            <w:tcW w:w="1282" w:type="pct"/>
            <w:tcBorders>
              <w:top w:val="single" w:sz="4" w:space="0" w:color="auto"/>
              <w:left w:val="single" w:sz="4" w:space="0" w:color="auto"/>
              <w:bottom w:val="single" w:sz="4" w:space="0" w:color="auto"/>
              <w:right w:val="single" w:sz="4" w:space="0" w:color="auto"/>
            </w:tcBorders>
            <w:hideMark/>
          </w:tcPr>
          <w:p w14:paraId="4E43720E" w14:textId="77777777" w:rsidR="00F01ECC" w:rsidRPr="00F01ECC" w:rsidRDefault="00F01ECC" w:rsidP="00F01ECC">
            <w:pPr>
              <w:spacing w:after="160" w:line="259" w:lineRule="auto"/>
              <w:rPr>
                <w:b/>
                <w:bCs/>
              </w:rPr>
            </w:pPr>
            <w:bookmarkStart w:id="1" w:name="_Hlk48471094"/>
            <w:r w:rsidRPr="00F01ECC">
              <w:rPr>
                <w:b/>
                <w:bCs/>
              </w:rPr>
              <w:t>Modifiers/developments/ range statements (context specific)</w:t>
            </w:r>
            <w:bookmarkEnd w:id="1"/>
          </w:p>
        </w:tc>
      </w:tr>
      <w:tr w:rsidR="00F01ECC" w:rsidRPr="00F01ECC" w14:paraId="3B5163CF" w14:textId="77777777" w:rsidTr="00F01ECC">
        <w:trPr>
          <w:cantSplit/>
        </w:trPr>
        <w:tc>
          <w:tcPr>
            <w:tcW w:w="1157" w:type="pct"/>
            <w:tcBorders>
              <w:top w:val="single" w:sz="4" w:space="0" w:color="auto"/>
              <w:left w:val="single" w:sz="4" w:space="0" w:color="auto"/>
              <w:bottom w:val="single" w:sz="4" w:space="0" w:color="auto"/>
              <w:right w:val="single" w:sz="4" w:space="0" w:color="auto"/>
            </w:tcBorders>
            <w:hideMark/>
          </w:tcPr>
          <w:p w14:paraId="71EE15AF" w14:textId="77777777" w:rsidR="00F01ECC" w:rsidRPr="00F01ECC" w:rsidRDefault="00F01ECC" w:rsidP="00F01ECC">
            <w:pPr>
              <w:spacing w:after="160" w:line="259" w:lineRule="auto"/>
            </w:pPr>
            <w:r w:rsidRPr="00F01ECC">
              <w:t>You are working for a social enterprise which is struggling to maintain momentum during the Corona19 crisis.</w:t>
            </w:r>
          </w:p>
        </w:tc>
        <w:tc>
          <w:tcPr>
            <w:tcW w:w="654" w:type="pct"/>
            <w:tcBorders>
              <w:top w:val="single" w:sz="4" w:space="0" w:color="auto"/>
              <w:left w:val="single" w:sz="4" w:space="0" w:color="auto"/>
              <w:bottom w:val="single" w:sz="4" w:space="0" w:color="auto"/>
              <w:right w:val="single" w:sz="4" w:space="0" w:color="auto"/>
            </w:tcBorders>
            <w:hideMark/>
          </w:tcPr>
          <w:p w14:paraId="55C2C8CB" w14:textId="77777777" w:rsidR="00F01ECC" w:rsidRPr="00F01ECC" w:rsidRDefault="00F01ECC" w:rsidP="00F01ECC">
            <w:pPr>
              <w:spacing w:after="160" w:line="259" w:lineRule="auto"/>
            </w:pPr>
            <w:r w:rsidRPr="00F01ECC">
              <w:t>Interpret</w:t>
            </w:r>
          </w:p>
        </w:tc>
        <w:tc>
          <w:tcPr>
            <w:tcW w:w="1002" w:type="pct"/>
            <w:tcBorders>
              <w:top w:val="single" w:sz="4" w:space="0" w:color="auto"/>
              <w:left w:val="single" w:sz="4" w:space="0" w:color="auto"/>
              <w:bottom w:val="single" w:sz="4" w:space="0" w:color="auto"/>
              <w:right w:val="single" w:sz="4" w:space="0" w:color="auto"/>
            </w:tcBorders>
            <w:hideMark/>
          </w:tcPr>
          <w:p w14:paraId="2C9DF514" w14:textId="77777777" w:rsidR="00F01ECC" w:rsidRPr="00F01ECC" w:rsidRDefault="00F01ECC" w:rsidP="00F01ECC">
            <w:pPr>
              <w:spacing w:after="160" w:line="259" w:lineRule="auto"/>
            </w:pPr>
            <w:r w:rsidRPr="00F01ECC">
              <w:t>A range of complex and at times incomplete financial and other data.</w:t>
            </w:r>
          </w:p>
        </w:tc>
        <w:tc>
          <w:tcPr>
            <w:tcW w:w="905" w:type="pct"/>
            <w:tcBorders>
              <w:top w:val="single" w:sz="4" w:space="0" w:color="auto"/>
              <w:left w:val="single" w:sz="4" w:space="0" w:color="auto"/>
              <w:bottom w:val="single" w:sz="4" w:space="0" w:color="auto"/>
              <w:right w:val="single" w:sz="4" w:space="0" w:color="auto"/>
            </w:tcBorders>
            <w:hideMark/>
          </w:tcPr>
          <w:p w14:paraId="42CFD83B" w14:textId="77777777" w:rsidR="00F01ECC" w:rsidRPr="00F01ECC" w:rsidRDefault="00F01ECC" w:rsidP="00F01ECC">
            <w:pPr>
              <w:spacing w:after="160" w:line="259" w:lineRule="auto"/>
            </w:pPr>
            <w:r w:rsidRPr="00F01ECC">
              <w:t>Compile a meaningful summary leading to a forward action plan</w:t>
            </w:r>
          </w:p>
        </w:tc>
        <w:tc>
          <w:tcPr>
            <w:tcW w:w="1282" w:type="pct"/>
            <w:tcBorders>
              <w:top w:val="single" w:sz="4" w:space="0" w:color="auto"/>
              <w:left w:val="single" w:sz="4" w:space="0" w:color="auto"/>
              <w:bottom w:val="single" w:sz="4" w:space="0" w:color="auto"/>
              <w:right w:val="single" w:sz="4" w:space="0" w:color="auto"/>
            </w:tcBorders>
            <w:hideMark/>
          </w:tcPr>
          <w:p w14:paraId="3AA732B7" w14:textId="77777777" w:rsidR="00F01ECC" w:rsidRPr="00F01ECC" w:rsidRDefault="00F01ECC" w:rsidP="00F01ECC">
            <w:pPr>
              <w:spacing w:after="160" w:line="259" w:lineRule="auto"/>
            </w:pPr>
            <w:r w:rsidRPr="00F01ECC">
              <w:t>That will give your funders confidence in your abilities to remain viable</w:t>
            </w:r>
          </w:p>
        </w:tc>
      </w:tr>
      <w:tr w:rsidR="00F01ECC" w:rsidRPr="00F01ECC" w14:paraId="7860B059"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3C6EC10F"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7FF13383"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63522B56"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62558118"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0546636B" w14:textId="77777777" w:rsidR="00F01ECC" w:rsidRPr="00F01ECC" w:rsidRDefault="00F01ECC" w:rsidP="00F01ECC">
            <w:pPr>
              <w:spacing w:after="160" w:line="259" w:lineRule="auto"/>
            </w:pPr>
          </w:p>
        </w:tc>
      </w:tr>
      <w:tr w:rsidR="00F01ECC" w:rsidRPr="00F01ECC" w14:paraId="6A3D847F"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305A342E"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0F908748"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36A27BF8"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127AB662"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08B3868D" w14:textId="77777777" w:rsidR="00F01ECC" w:rsidRPr="00F01ECC" w:rsidRDefault="00F01ECC" w:rsidP="00F01ECC">
            <w:pPr>
              <w:spacing w:after="160" w:line="259" w:lineRule="auto"/>
            </w:pPr>
          </w:p>
        </w:tc>
      </w:tr>
      <w:tr w:rsidR="00F01ECC" w:rsidRPr="00F01ECC" w14:paraId="1E69B7BB"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5510DB98"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02C53FCC"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642D25F6"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331638B2"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7689C579" w14:textId="77777777" w:rsidR="00F01ECC" w:rsidRPr="00F01ECC" w:rsidRDefault="00F01ECC" w:rsidP="00F01ECC">
            <w:pPr>
              <w:spacing w:after="160" w:line="259" w:lineRule="auto"/>
            </w:pPr>
          </w:p>
        </w:tc>
      </w:tr>
      <w:tr w:rsidR="00F01ECC" w:rsidRPr="00F01ECC" w14:paraId="083C0A91"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58BA55AD"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7F75B864"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622FDFC5"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61A863C1"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1407BF21" w14:textId="77777777" w:rsidR="00F01ECC" w:rsidRPr="00F01ECC" w:rsidRDefault="00F01ECC" w:rsidP="00F01ECC">
            <w:pPr>
              <w:spacing w:after="160" w:line="259" w:lineRule="auto"/>
            </w:pPr>
          </w:p>
        </w:tc>
      </w:tr>
      <w:tr w:rsidR="00F01ECC" w:rsidRPr="00F01ECC" w14:paraId="2F198CA0"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026E0B49"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52B3A23F"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5064239A"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2CB6BE30"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79AAF8D9" w14:textId="77777777" w:rsidR="00F01ECC" w:rsidRPr="00F01ECC" w:rsidRDefault="00F01ECC" w:rsidP="00F01ECC">
            <w:pPr>
              <w:spacing w:after="160" w:line="259" w:lineRule="auto"/>
            </w:pPr>
          </w:p>
        </w:tc>
      </w:tr>
      <w:tr w:rsidR="00F01ECC" w:rsidRPr="00F01ECC" w14:paraId="4A4848BB"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0234B045"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3A5AE7E3"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4C7EB85F"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3473FB3D"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607A2E1F" w14:textId="77777777" w:rsidR="00F01ECC" w:rsidRPr="00F01ECC" w:rsidRDefault="00F01ECC" w:rsidP="00F01ECC">
            <w:pPr>
              <w:spacing w:after="160" w:line="259" w:lineRule="auto"/>
            </w:pPr>
          </w:p>
        </w:tc>
      </w:tr>
      <w:tr w:rsidR="00F01ECC" w:rsidRPr="00F01ECC" w14:paraId="3A50D409"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521B163C"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7430CFA4"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0F9AAA3C"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3B8189C0"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738E6F4D" w14:textId="77777777" w:rsidR="00F01ECC" w:rsidRPr="00F01ECC" w:rsidRDefault="00F01ECC" w:rsidP="00F01ECC">
            <w:pPr>
              <w:spacing w:after="160" w:line="259" w:lineRule="auto"/>
            </w:pPr>
          </w:p>
        </w:tc>
      </w:tr>
      <w:tr w:rsidR="00F01ECC" w:rsidRPr="00F01ECC" w14:paraId="7650E1B3"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49E328DF"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2AA3D76B"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6A8BE6A1"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141BA8A0"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0420B874" w14:textId="77777777" w:rsidR="00F01ECC" w:rsidRPr="00F01ECC" w:rsidRDefault="00F01ECC" w:rsidP="00F01ECC">
            <w:pPr>
              <w:spacing w:after="160" w:line="259" w:lineRule="auto"/>
            </w:pPr>
          </w:p>
        </w:tc>
      </w:tr>
      <w:tr w:rsidR="00F01ECC" w:rsidRPr="00F01ECC" w14:paraId="6A9E1B7C"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17EF8CA3"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5BF2FF63"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143C5F52"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6B2184E8"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7FF4BA5A" w14:textId="77777777" w:rsidR="00F01ECC" w:rsidRPr="00F01ECC" w:rsidRDefault="00F01ECC" w:rsidP="00F01ECC">
            <w:pPr>
              <w:spacing w:after="160" w:line="259" w:lineRule="auto"/>
            </w:pPr>
          </w:p>
        </w:tc>
      </w:tr>
      <w:tr w:rsidR="00F01ECC" w:rsidRPr="00F01ECC" w14:paraId="14DFB9A4"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4E914993"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36C06AF6"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0ED4420D"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7FF6A8A9"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34B16796" w14:textId="77777777" w:rsidR="00F01ECC" w:rsidRPr="00F01ECC" w:rsidRDefault="00F01ECC" w:rsidP="00F01ECC">
            <w:pPr>
              <w:spacing w:after="160" w:line="259" w:lineRule="auto"/>
            </w:pPr>
          </w:p>
        </w:tc>
      </w:tr>
      <w:tr w:rsidR="00F01ECC" w:rsidRPr="00F01ECC" w14:paraId="1A21BBCF"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65E17B61"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164717ED"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406D90DA"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465AC60C"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236CA5CF" w14:textId="77777777" w:rsidR="00F01ECC" w:rsidRPr="00F01ECC" w:rsidRDefault="00F01ECC" w:rsidP="00F01ECC">
            <w:pPr>
              <w:spacing w:after="160" w:line="259" w:lineRule="auto"/>
            </w:pPr>
          </w:p>
        </w:tc>
      </w:tr>
      <w:tr w:rsidR="00F01ECC" w:rsidRPr="00F01ECC" w14:paraId="4C04A34D" w14:textId="77777777" w:rsidTr="00F01ECC">
        <w:trPr>
          <w:cantSplit/>
        </w:trPr>
        <w:tc>
          <w:tcPr>
            <w:tcW w:w="1157" w:type="pct"/>
            <w:tcBorders>
              <w:top w:val="single" w:sz="4" w:space="0" w:color="auto"/>
              <w:left w:val="single" w:sz="4" w:space="0" w:color="auto"/>
              <w:bottom w:val="single" w:sz="4" w:space="0" w:color="auto"/>
              <w:right w:val="single" w:sz="4" w:space="0" w:color="auto"/>
            </w:tcBorders>
          </w:tcPr>
          <w:p w14:paraId="1B2EC43A" w14:textId="77777777" w:rsidR="00F01ECC" w:rsidRPr="00F01ECC" w:rsidRDefault="00F01ECC" w:rsidP="00F01ECC">
            <w:pPr>
              <w:spacing w:after="160" w:line="259" w:lineRule="auto"/>
            </w:pPr>
          </w:p>
        </w:tc>
        <w:tc>
          <w:tcPr>
            <w:tcW w:w="654" w:type="pct"/>
            <w:tcBorders>
              <w:top w:val="single" w:sz="4" w:space="0" w:color="auto"/>
              <w:left w:val="single" w:sz="4" w:space="0" w:color="auto"/>
              <w:bottom w:val="single" w:sz="4" w:space="0" w:color="auto"/>
              <w:right w:val="single" w:sz="4" w:space="0" w:color="auto"/>
            </w:tcBorders>
          </w:tcPr>
          <w:p w14:paraId="6C2A983E" w14:textId="77777777" w:rsidR="00F01ECC" w:rsidRPr="00F01ECC" w:rsidRDefault="00F01ECC" w:rsidP="00F01ECC">
            <w:pPr>
              <w:spacing w:after="160" w:line="259" w:lineRule="auto"/>
            </w:pPr>
          </w:p>
        </w:tc>
        <w:tc>
          <w:tcPr>
            <w:tcW w:w="1002" w:type="pct"/>
            <w:tcBorders>
              <w:top w:val="single" w:sz="4" w:space="0" w:color="auto"/>
              <w:left w:val="single" w:sz="4" w:space="0" w:color="auto"/>
              <w:bottom w:val="single" w:sz="4" w:space="0" w:color="auto"/>
              <w:right w:val="single" w:sz="4" w:space="0" w:color="auto"/>
            </w:tcBorders>
          </w:tcPr>
          <w:p w14:paraId="391F850D" w14:textId="77777777" w:rsidR="00F01ECC" w:rsidRPr="00F01ECC" w:rsidRDefault="00F01ECC" w:rsidP="00F01ECC">
            <w:pPr>
              <w:spacing w:after="160" w:line="259" w:lineRule="auto"/>
            </w:pPr>
          </w:p>
        </w:tc>
        <w:tc>
          <w:tcPr>
            <w:tcW w:w="905" w:type="pct"/>
            <w:tcBorders>
              <w:top w:val="single" w:sz="4" w:space="0" w:color="auto"/>
              <w:left w:val="single" w:sz="4" w:space="0" w:color="auto"/>
              <w:bottom w:val="single" w:sz="4" w:space="0" w:color="auto"/>
              <w:right w:val="single" w:sz="4" w:space="0" w:color="auto"/>
            </w:tcBorders>
          </w:tcPr>
          <w:p w14:paraId="09400763" w14:textId="77777777" w:rsidR="00F01ECC" w:rsidRPr="00F01ECC" w:rsidRDefault="00F01ECC" w:rsidP="00F01ECC">
            <w:pPr>
              <w:spacing w:after="160" w:line="259" w:lineRule="auto"/>
            </w:pPr>
          </w:p>
        </w:tc>
        <w:tc>
          <w:tcPr>
            <w:tcW w:w="1282" w:type="pct"/>
            <w:tcBorders>
              <w:top w:val="single" w:sz="4" w:space="0" w:color="auto"/>
              <w:left w:val="single" w:sz="4" w:space="0" w:color="auto"/>
              <w:bottom w:val="single" w:sz="4" w:space="0" w:color="auto"/>
              <w:right w:val="single" w:sz="4" w:space="0" w:color="auto"/>
            </w:tcBorders>
          </w:tcPr>
          <w:p w14:paraId="78681543" w14:textId="77777777" w:rsidR="00F01ECC" w:rsidRPr="00F01ECC" w:rsidRDefault="00F01ECC" w:rsidP="00F01ECC">
            <w:pPr>
              <w:spacing w:after="160" w:line="259" w:lineRule="auto"/>
            </w:pPr>
          </w:p>
        </w:tc>
      </w:tr>
    </w:tbl>
    <w:p w14:paraId="58FA561B" w14:textId="77777777" w:rsidR="004F68F5" w:rsidRDefault="004F68F5" w:rsidP="00F01ECC"/>
    <w:sectPr w:rsidR="004F68F5" w:rsidSect="00F01E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67C3"/>
    <w:multiLevelType w:val="hybridMultilevel"/>
    <w:tmpl w:val="C6C2A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43"/>
    <w:rsid w:val="004F68F5"/>
    <w:rsid w:val="00820843"/>
    <w:rsid w:val="00F01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D14"/>
  <w15:chartTrackingRefBased/>
  <w15:docId w15:val="{BB69B6AB-EDAC-4F04-85A9-FE2DCE50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43"/>
  </w:style>
  <w:style w:type="paragraph" w:styleId="Heading1">
    <w:name w:val="heading 1"/>
    <w:basedOn w:val="Normal"/>
    <w:next w:val="Normal"/>
    <w:link w:val="Heading1Char"/>
    <w:qFormat/>
    <w:rsid w:val="00820843"/>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843"/>
    <w:rPr>
      <w:rFonts w:ascii="Calibri" w:eastAsia="SimSun" w:hAnsi="Calibri" w:cs="DejaVu Sans"/>
      <w:b/>
      <w:bCs/>
      <w:caps/>
      <w:color w:val="FFFFFF"/>
      <w:spacing w:val="15"/>
      <w:shd w:val="clear" w:color="auto" w:fill="943634"/>
      <w:lang w:eastAsia="en-GB"/>
    </w:rPr>
  </w:style>
  <w:style w:type="paragraph" w:styleId="Title">
    <w:name w:val="Title"/>
    <w:basedOn w:val="Normal"/>
    <w:next w:val="Normal"/>
    <w:link w:val="TitleChar"/>
    <w:qFormat/>
    <w:rsid w:val="00820843"/>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820843"/>
    <w:rPr>
      <w:rFonts w:ascii="Calibri" w:eastAsia="SimSun" w:hAnsi="Calibri" w:cs="DejaVu Sans"/>
      <w:smallCaps/>
      <w:sz w:val="48"/>
      <w:szCs w:val="48"/>
    </w:rPr>
  </w:style>
  <w:style w:type="paragraph" w:styleId="ListParagraph">
    <w:name w:val="List Paragraph"/>
    <w:basedOn w:val="Normal"/>
    <w:uiPriority w:val="34"/>
    <w:qFormat/>
    <w:rsid w:val="00820843"/>
    <w:pPr>
      <w:ind w:left="720"/>
      <w:contextualSpacing/>
    </w:pPr>
  </w:style>
  <w:style w:type="table" w:styleId="TableGrid">
    <w:name w:val="Table Grid"/>
    <w:basedOn w:val="TableNormal"/>
    <w:uiPriority w:val="39"/>
    <w:rsid w:val="00F0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1ECC"/>
    <w:rPr>
      <w:color w:val="0563C1" w:themeColor="hyperlink"/>
      <w:u w:val="single"/>
    </w:rPr>
  </w:style>
  <w:style w:type="character" w:styleId="UnresolvedMention">
    <w:name w:val="Unresolved Mention"/>
    <w:basedOn w:val="DefaultParagraphFont"/>
    <w:uiPriority w:val="99"/>
    <w:semiHidden/>
    <w:unhideWhenUsed/>
    <w:rsid w:val="00F01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praxis.substack.com/p/tip-authentic-assessment" TargetMode="External"/><Relationship Id="rId3" Type="http://schemas.openxmlformats.org/officeDocument/2006/relationships/settings" Target="settings.xml"/><Relationship Id="rId7" Type="http://schemas.openxmlformats.org/officeDocument/2006/relationships/hyperlink" Target="https://pbs.twimg.com/media/Ejtgia1X0AUFx8U?format=jpg&amp;name=lar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lly-brown.net/download/3179/" TargetMode="External"/><Relationship Id="rId5" Type="http://schemas.openxmlformats.org/officeDocument/2006/relationships/hyperlink" Target="https://sally-brown.net/kay-sambell-and-sally-brown-covid-19-assessment-coll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4</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jmow87@outlook.com</dc:creator>
  <cp:keywords/>
  <dc:description/>
  <cp:lastModifiedBy>jmow87@outlook.com</cp:lastModifiedBy>
  <cp:revision>2</cp:revision>
  <dcterms:created xsi:type="dcterms:W3CDTF">2020-11-27T12:45:00Z</dcterms:created>
  <dcterms:modified xsi:type="dcterms:W3CDTF">2020-11-27T12:45:00Z</dcterms:modified>
</cp:coreProperties>
</file>