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444B" w14:textId="7156C9F0" w:rsidR="004678CB" w:rsidRDefault="349447B3" w:rsidP="004678CB">
      <w:pPr>
        <w:pStyle w:val="Title"/>
      </w:pPr>
      <w:r>
        <w:t>Change Freeze Policy</w:t>
      </w:r>
      <w:r w:rsidR="2A1EC635">
        <w:t xml:space="preserve"> v1.</w:t>
      </w:r>
      <w:r w:rsidR="73C5EBD2">
        <w:t>1</w:t>
      </w:r>
    </w:p>
    <w:p w14:paraId="0DEBF8B5" w14:textId="77777777" w:rsidR="004678CB" w:rsidRDefault="004678CB" w:rsidP="004678CB"/>
    <w:p w14:paraId="0E820501" w14:textId="3252BBF4" w:rsidR="004678CB" w:rsidRDefault="004678CB" w:rsidP="004678CB">
      <w:pPr>
        <w:pStyle w:val="Heading2"/>
      </w:pPr>
      <w:r>
        <w:t>1.</w:t>
      </w:r>
      <w:r w:rsidR="00316764">
        <w:t>0</w:t>
      </w:r>
      <w:r>
        <w:t xml:space="preserve"> </w:t>
      </w:r>
      <w:r w:rsidR="00316764">
        <w:t>Objectives</w:t>
      </w:r>
    </w:p>
    <w:p w14:paraId="18934C90" w14:textId="2628EE83" w:rsidR="00E45BCB" w:rsidRDefault="00E45BCB" w:rsidP="00E45BCB">
      <w:r>
        <w:t xml:space="preserve">This policy defines how </w:t>
      </w:r>
      <w:r w:rsidR="3652EF91">
        <w:t>Information Technology Services</w:t>
      </w:r>
      <w:r>
        <w:t xml:space="preserve"> will protect IT systems from the risk of downtime during periods that are critical to operations. </w:t>
      </w:r>
    </w:p>
    <w:p w14:paraId="48BE37DC" w14:textId="12D984CA" w:rsidR="00E45BCB" w:rsidRDefault="00E45BCB" w:rsidP="00E45BCB">
      <w:r>
        <w:t xml:space="preserve">Critical periods include examinations and clearing, during which changes to Information Systems will be addressed according to Change Freeze </w:t>
      </w:r>
      <w:r w:rsidR="3077E00E">
        <w:t>phases</w:t>
      </w:r>
      <w:r>
        <w:t xml:space="preserve">: Green, </w:t>
      </w:r>
      <w:r w:rsidR="000F00EC">
        <w:t>A</w:t>
      </w:r>
      <w:r>
        <w:t xml:space="preserve">mber and </w:t>
      </w:r>
      <w:r w:rsidR="000F00EC">
        <w:t>R</w:t>
      </w:r>
      <w:r>
        <w:t>ed.</w:t>
      </w:r>
    </w:p>
    <w:p w14:paraId="706EF32A" w14:textId="41B35AD8" w:rsidR="004678CB" w:rsidRDefault="00316764" w:rsidP="00D5784E">
      <w:pPr>
        <w:pStyle w:val="Heading2"/>
      </w:pPr>
      <w:r>
        <w:t>1</w:t>
      </w:r>
      <w:r w:rsidR="0072599D">
        <w:t>.</w:t>
      </w:r>
      <w:r w:rsidR="00834EDE">
        <w:t>1</w:t>
      </w:r>
      <w:r w:rsidR="0072599D">
        <w:t xml:space="preserve"> Scope</w:t>
      </w:r>
    </w:p>
    <w:p w14:paraId="0CE3DD99" w14:textId="7E28E819" w:rsidR="00B035C7" w:rsidRDefault="00111E0D" w:rsidP="0072599D">
      <w:r>
        <w:t xml:space="preserve">This policy covers all University IT systems managed by </w:t>
      </w:r>
      <w:r w:rsidR="3652EF91">
        <w:t>Information Technology Services</w:t>
      </w:r>
      <w:r w:rsidR="002B305D">
        <w:t>.</w:t>
      </w:r>
    </w:p>
    <w:p w14:paraId="152473FA" w14:textId="35225966" w:rsidR="633116DD" w:rsidRDefault="633116DD">
      <w:r>
        <w:t>In addition to this policy, an IT Change Management process is always in place (regardless of current Change Freeze Phase) which approves / rejects changes to IT services through a Change Advisory Board (CAB). Th</w:t>
      </w:r>
      <w:r w:rsidR="283480F2">
        <w:t xml:space="preserve">e CAB </w:t>
      </w:r>
      <w:r>
        <w:t xml:space="preserve">assesses the risk of </w:t>
      </w:r>
      <w:r w:rsidR="28C28958">
        <w:t>all</w:t>
      </w:r>
      <w:r>
        <w:t xml:space="preserve"> change</w:t>
      </w:r>
      <w:r w:rsidR="211C89C5">
        <w:t>s to IT systems</w:t>
      </w:r>
      <w:r>
        <w:t xml:space="preserve">, ensuring the changes have had their impact appropriately assessed, are sufficiently tested, and that a rollback plan is in place if applicable. </w:t>
      </w:r>
      <w:r w:rsidR="248FCDA4">
        <w:t>The Change Management process is documented separately in its own policies and procedures.</w:t>
      </w:r>
    </w:p>
    <w:p w14:paraId="4C6676DB" w14:textId="6B766F5B" w:rsidR="0079408B" w:rsidRDefault="0079408B" w:rsidP="0079408B">
      <w:pPr>
        <w:pStyle w:val="Heading2"/>
      </w:pPr>
      <w:r>
        <w:t xml:space="preserve">1.2 </w:t>
      </w:r>
      <w:r w:rsidR="00545930">
        <w:t>Change Freeze Periods</w:t>
      </w:r>
    </w:p>
    <w:p w14:paraId="522C4459" w14:textId="18A7AF59" w:rsidR="00E777CC" w:rsidRDefault="00E777CC">
      <w:r>
        <w:t>Change Freeze Periods are</w:t>
      </w:r>
      <w:r w:rsidR="00701CED">
        <w:t xml:space="preserve"> currently</w:t>
      </w:r>
      <w:r>
        <w:t xml:space="preserve"> de</w:t>
      </w:r>
      <w:r w:rsidR="00701CED">
        <w:t>termined</w:t>
      </w:r>
      <w:r>
        <w:t xml:space="preserve"> using the table </w:t>
      </w:r>
      <w:r w:rsidR="003C294E">
        <w:t>below but</w:t>
      </w:r>
      <w:r w:rsidR="00701CED">
        <w:t xml:space="preserve"> are subject to change based on the ongoing needs of the organisation</w:t>
      </w:r>
      <w:r w:rsidR="00BD410A"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710"/>
        <w:gridCol w:w="4306"/>
      </w:tblGrid>
      <w:tr w:rsidR="00545930" w14:paraId="3B0ED193" w14:textId="77777777" w:rsidTr="3D9E151B">
        <w:tc>
          <w:tcPr>
            <w:tcW w:w="4710" w:type="dxa"/>
          </w:tcPr>
          <w:p w14:paraId="481B74DD" w14:textId="3EB8168A" w:rsidR="00545930" w:rsidRPr="00545930" w:rsidRDefault="00545930" w:rsidP="00545930">
            <w:pPr>
              <w:rPr>
                <w:b/>
                <w:bCs/>
              </w:rPr>
            </w:pPr>
            <w:r w:rsidRPr="00545930">
              <w:rPr>
                <w:b/>
                <w:bCs/>
              </w:rPr>
              <w:t>Period</w:t>
            </w:r>
          </w:p>
        </w:tc>
        <w:tc>
          <w:tcPr>
            <w:tcW w:w="4306" w:type="dxa"/>
          </w:tcPr>
          <w:p w14:paraId="605F1754" w14:textId="3591E08D" w:rsidR="00545930" w:rsidRPr="00545930" w:rsidRDefault="00545930" w:rsidP="00545930">
            <w:pPr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</w:p>
        </w:tc>
      </w:tr>
      <w:tr w:rsidR="0070557A" w14:paraId="640B7C2B" w14:textId="77777777" w:rsidTr="3D9E151B">
        <w:tc>
          <w:tcPr>
            <w:tcW w:w="4710" w:type="dxa"/>
          </w:tcPr>
          <w:p w14:paraId="78D84970" w14:textId="7748EDF6" w:rsidR="0070557A" w:rsidRDefault="00086C58" w:rsidP="00545930">
            <w:r w:rsidRPr="00086C58">
              <w:t>Semester 1 Assessment and Examinations</w:t>
            </w:r>
          </w:p>
        </w:tc>
        <w:tc>
          <w:tcPr>
            <w:tcW w:w="4306" w:type="dxa"/>
          </w:tcPr>
          <w:p w14:paraId="1C86377D" w14:textId="03FEB90A" w:rsidR="0070557A" w:rsidRDefault="00086C58" w:rsidP="00545930">
            <w:r w:rsidRPr="3D9E151B">
              <w:rPr>
                <w:color w:val="E97132" w:themeColor="accent2"/>
              </w:rPr>
              <w:t>Amber</w:t>
            </w:r>
          </w:p>
        </w:tc>
      </w:tr>
      <w:tr w:rsidR="0070557A" w14:paraId="66E96F00" w14:textId="77777777" w:rsidTr="3D9E151B">
        <w:tc>
          <w:tcPr>
            <w:tcW w:w="4710" w:type="dxa"/>
          </w:tcPr>
          <w:p w14:paraId="334C4900" w14:textId="44316BBE" w:rsidR="0070557A" w:rsidRDefault="007D3EF6" w:rsidP="00545930">
            <w:r w:rsidRPr="007D3EF6">
              <w:t>Semester 2 Assessment and Examinations</w:t>
            </w:r>
          </w:p>
        </w:tc>
        <w:tc>
          <w:tcPr>
            <w:tcW w:w="4306" w:type="dxa"/>
          </w:tcPr>
          <w:p w14:paraId="10995F4B" w14:textId="28DBFC8C" w:rsidR="0070557A" w:rsidRDefault="6CA770CB" w:rsidP="00545930">
            <w:r w:rsidRPr="3D9E151B">
              <w:rPr>
                <w:color w:val="E97132" w:themeColor="accent2"/>
              </w:rPr>
              <w:t>Amber</w:t>
            </w:r>
          </w:p>
        </w:tc>
      </w:tr>
      <w:tr w:rsidR="3F9364B6" w14:paraId="6BFD97C1" w14:textId="77777777" w:rsidTr="3D9E151B">
        <w:trPr>
          <w:trHeight w:val="300"/>
        </w:trPr>
        <w:tc>
          <w:tcPr>
            <w:tcW w:w="4710" w:type="dxa"/>
          </w:tcPr>
          <w:p w14:paraId="237B9770" w14:textId="6BCA9FBE" w:rsidR="3F9364B6" w:rsidRDefault="3F9364B6" w:rsidP="3F9364B6">
            <w:pPr>
              <w:rPr>
                <w:rFonts w:ascii="Aptos" w:eastAsia="Aptos" w:hAnsi="Aptos" w:cs="Aptos"/>
                <w:color w:val="000000" w:themeColor="text1"/>
              </w:rPr>
            </w:pPr>
            <w:r w:rsidRPr="3F9364B6">
              <w:rPr>
                <w:rFonts w:ascii="Aptos" w:eastAsia="Aptos" w:hAnsi="Aptos" w:cs="Aptos"/>
                <w:color w:val="000000" w:themeColor="text1"/>
              </w:rPr>
              <w:t>Supplementary Examinations</w:t>
            </w:r>
          </w:p>
        </w:tc>
        <w:tc>
          <w:tcPr>
            <w:tcW w:w="4306" w:type="dxa"/>
          </w:tcPr>
          <w:p w14:paraId="00290B37" w14:textId="254BD5D5" w:rsidR="3F9364B6" w:rsidRDefault="4E89CCEF" w:rsidP="3F9364B6">
            <w:r w:rsidRPr="3D9E151B">
              <w:rPr>
                <w:color w:val="E97132" w:themeColor="accent2"/>
              </w:rPr>
              <w:t>Amber</w:t>
            </w:r>
          </w:p>
        </w:tc>
      </w:tr>
      <w:tr w:rsidR="3F9364B6" w14:paraId="7F6B6376" w14:textId="77777777" w:rsidTr="3D9E151B">
        <w:trPr>
          <w:trHeight w:val="300"/>
        </w:trPr>
        <w:tc>
          <w:tcPr>
            <w:tcW w:w="4710" w:type="dxa"/>
          </w:tcPr>
          <w:p w14:paraId="471AF5AC" w14:textId="1FAF8244" w:rsidR="3F9364B6" w:rsidRDefault="3F9364B6" w:rsidP="3F9364B6">
            <w:r>
              <w:t>Senate Exam Boards</w:t>
            </w:r>
          </w:p>
        </w:tc>
        <w:tc>
          <w:tcPr>
            <w:tcW w:w="4306" w:type="dxa"/>
          </w:tcPr>
          <w:p w14:paraId="19D7CD73" w14:textId="5CAFC1B2" w:rsidR="3F9364B6" w:rsidRDefault="67726340" w:rsidP="3D9E151B">
            <w:r w:rsidRPr="3D9E151B">
              <w:rPr>
                <w:color w:val="E97132" w:themeColor="accent2"/>
              </w:rPr>
              <w:t>Amber</w:t>
            </w:r>
          </w:p>
        </w:tc>
      </w:tr>
      <w:tr w:rsidR="3F9364B6" w14:paraId="26B3AD15" w14:textId="77777777" w:rsidTr="3D9E151B">
        <w:trPr>
          <w:trHeight w:val="300"/>
        </w:trPr>
        <w:tc>
          <w:tcPr>
            <w:tcW w:w="4710" w:type="dxa"/>
          </w:tcPr>
          <w:p w14:paraId="406A69BE" w14:textId="70FA7284" w:rsidR="5D8E090A" w:rsidRDefault="5D8E090A" w:rsidP="3F9364B6">
            <w:r>
              <w:t>Results Release to Students</w:t>
            </w:r>
          </w:p>
        </w:tc>
        <w:tc>
          <w:tcPr>
            <w:tcW w:w="4306" w:type="dxa"/>
          </w:tcPr>
          <w:p w14:paraId="6256BE65" w14:textId="7D291EE1" w:rsidR="5D8E090A" w:rsidRDefault="5DBF790B" w:rsidP="3D9E151B">
            <w:r w:rsidRPr="3D9E151B">
              <w:rPr>
                <w:color w:val="E97132" w:themeColor="accent2"/>
              </w:rPr>
              <w:t>Amber</w:t>
            </w:r>
          </w:p>
        </w:tc>
      </w:tr>
      <w:tr w:rsidR="3F9364B6" w14:paraId="54ED388E" w14:textId="77777777" w:rsidTr="3D9E151B">
        <w:trPr>
          <w:trHeight w:val="300"/>
        </w:trPr>
        <w:tc>
          <w:tcPr>
            <w:tcW w:w="4710" w:type="dxa"/>
          </w:tcPr>
          <w:p w14:paraId="4D0AA538" w14:textId="3B7D638E" w:rsidR="3F9364B6" w:rsidRDefault="3F9364B6" w:rsidP="3F9364B6">
            <w:r>
              <w:t>Graduation</w:t>
            </w:r>
          </w:p>
        </w:tc>
        <w:tc>
          <w:tcPr>
            <w:tcW w:w="4306" w:type="dxa"/>
          </w:tcPr>
          <w:p w14:paraId="1007284B" w14:textId="49F5772A" w:rsidR="3F9364B6" w:rsidRDefault="64599ABC" w:rsidP="3D9E151B">
            <w:r w:rsidRPr="3D9E151B">
              <w:rPr>
                <w:color w:val="E97132" w:themeColor="accent2"/>
              </w:rPr>
              <w:t>Amber</w:t>
            </w:r>
          </w:p>
        </w:tc>
      </w:tr>
      <w:tr w:rsidR="00545930" w14:paraId="7E154D34" w14:textId="77777777" w:rsidTr="3D9E151B">
        <w:tc>
          <w:tcPr>
            <w:tcW w:w="4710" w:type="dxa"/>
          </w:tcPr>
          <w:p w14:paraId="428AC8FF" w14:textId="4A849346" w:rsidR="00545930" w:rsidRDefault="00545930" w:rsidP="00545930">
            <w:r>
              <w:t xml:space="preserve">Week before </w:t>
            </w:r>
            <w:r w:rsidR="2C335299">
              <w:t xml:space="preserve">SQA </w:t>
            </w:r>
            <w:r>
              <w:t>Results</w:t>
            </w:r>
          </w:p>
        </w:tc>
        <w:tc>
          <w:tcPr>
            <w:tcW w:w="4306" w:type="dxa"/>
          </w:tcPr>
          <w:p w14:paraId="614DBB3F" w14:textId="0D0CDF0C" w:rsidR="00545930" w:rsidRDefault="646D250F" w:rsidP="00545930">
            <w:r w:rsidRPr="3D9E151B">
              <w:rPr>
                <w:color w:val="E97132" w:themeColor="accent2"/>
              </w:rPr>
              <w:t>Amber</w:t>
            </w:r>
          </w:p>
        </w:tc>
      </w:tr>
      <w:tr w:rsidR="00545930" w14:paraId="078020F5" w14:textId="77777777" w:rsidTr="3D9E151B">
        <w:tc>
          <w:tcPr>
            <w:tcW w:w="4710" w:type="dxa"/>
          </w:tcPr>
          <w:p w14:paraId="2FC9B170" w14:textId="7CF444F2" w:rsidR="00545930" w:rsidRDefault="69F300E3" w:rsidP="3F9364B6">
            <w:r>
              <w:t>Thursday before Results Download</w:t>
            </w:r>
          </w:p>
          <w:p w14:paraId="46E5A7D7" w14:textId="189AB3CD" w:rsidR="00545930" w:rsidRDefault="69F300E3" w:rsidP="3F9364B6">
            <w:r>
              <w:t>until</w:t>
            </w:r>
          </w:p>
          <w:p w14:paraId="123FC49F" w14:textId="049843B9" w:rsidR="00545930" w:rsidRDefault="69F300E3" w:rsidP="3F9364B6">
            <w:r>
              <w:t>Sunday after A-Level Results Day</w:t>
            </w:r>
          </w:p>
        </w:tc>
        <w:tc>
          <w:tcPr>
            <w:tcW w:w="4306" w:type="dxa"/>
          </w:tcPr>
          <w:p w14:paraId="3366BD7D" w14:textId="079435DB" w:rsidR="00545930" w:rsidRDefault="00545930" w:rsidP="3D9E151B">
            <w:pPr>
              <w:rPr>
                <w:color w:val="FF0000"/>
              </w:rPr>
            </w:pPr>
            <w:r w:rsidRPr="3D9E151B">
              <w:rPr>
                <w:color w:val="FF0000"/>
              </w:rPr>
              <w:t>Red</w:t>
            </w:r>
          </w:p>
        </w:tc>
      </w:tr>
      <w:tr w:rsidR="00545930" w14:paraId="7181F391" w14:textId="77777777" w:rsidTr="3D9E151B">
        <w:tc>
          <w:tcPr>
            <w:tcW w:w="4710" w:type="dxa"/>
          </w:tcPr>
          <w:p w14:paraId="597D017D" w14:textId="173C63F3" w:rsidR="00545930" w:rsidRDefault="00545930" w:rsidP="00545930">
            <w:r>
              <w:t>Week after A-Level Results</w:t>
            </w:r>
            <w:r w:rsidR="753E06A4">
              <w:t xml:space="preserve"> Day</w:t>
            </w:r>
          </w:p>
        </w:tc>
        <w:tc>
          <w:tcPr>
            <w:tcW w:w="4306" w:type="dxa"/>
          </w:tcPr>
          <w:p w14:paraId="2BAEF1E0" w14:textId="6B6F6008" w:rsidR="00545930" w:rsidRDefault="40C39761" w:rsidP="00545930">
            <w:r w:rsidRPr="3D9E151B">
              <w:rPr>
                <w:color w:val="E97132" w:themeColor="accent2"/>
              </w:rPr>
              <w:t>Amber</w:t>
            </w:r>
          </w:p>
        </w:tc>
      </w:tr>
      <w:tr w:rsidR="17EA5ED3" w14:paraId="3F5F95BB" w14:textId="77777777" w:rsidTr="3D9E151B">
        <w:trPr>
          <w:trHeight w:val="300"/>
        </w:trPr>
        <w:tc>
          <w:tcPr>
            <w:tcW w:w="4710" w:type="dxa"/>
          </w:tcPr>
          <w:p w14:paraId="7E03FB33" w14:textId="58EC8187" w:rsidR="6FD5BF90" w:rsidRDefault="6FD5BF90" w:rsidP="17EA5ED3">
            <w:r>
              <w:t>Big Welcome Weekend &amp; following week</w:t>
            </w:r>
          </w:p>
        </w:tc>
        <w:tc>
          <w:tcPr>
            <w:tcW w:w="4306" w:type="dxa"/>
          </w:tcPr>
          <w:p w14:paraId="72BC6ED0" w14:textId="60E414F1" w:rsidR="6FD5BF90" w:rsidRDefault="1358E224" w:rsidP="17EA5ED3">
            <w:r w:rsidRPr="3D9E151B">
              <w:rPr>
                <w:color w:val="E97132" w:themeColor="accent2"/>
              </w:rPr>
              <w:t>Amber</w:t>
            </w:r>
          </w:p>
        </w:tc>
      </w:tr>
      <w:tr w:rsidR="00545930" w14:paraId="747BA01A" w14:textId="77777777" w:rsidTr="3D9E151B">
        <w:tc>
          <w:tcPr>
            <w:tcW w:w="4710" w:type="dxa"/>
          </w:tcPr>
          <w:p w14:paraId="2169EFAC" w14:textId="6ADCCDFB" w:rsidR="00545930" w:rsidRDefault="00545930" w:rsidP="00545930">
            <w:r>
              <w:t>Final week before Christmas vacation</w:t>
            </w:r>
          </w:p>
        </w:tc>
        <w:tc>
          <w:tcPr>
            <w:tcW w:w="4306" w:type="dxa"/>
          </w:tcPr>
          <w:p w14:paraId="781C65D5" w14:textId="7D07207C" w:rsidR="00545930" w:rsidRDefault="0E877394" w:rsidP="00545930">
            <w:r w:rsidRPr="3D9E151B">
              <w:rPr>
                <w:color w:val="E97132" w:themeColor="accent2"/>
              </w:rPr>
              <w:t>Amber</w:t>
            </w:r>
          </w:p>
        </w:tc>
      </w:tr>
      <w:tr w:rsidR="00711D76" w14:paraId="01101737" w14:textId="77777777" w:rsidTr="3D9E151B">
        <w:tc>
          <w:tcPr>
            <w:tcW w:w="4710" w:type="dxa"/>
          </w:tcPr>
          <w:p w14:paraId="582EAA32" w14:textId="7C304723" w:rsidR="00711D76" w:rsidRDefault="00711D76" w:rsidP="00545930">
            <w:r>
              <w:t xml:space="preserve">All </w:t>
            </w:r>
            <w:r w:rsidR="00B94431">
              <w:t>O</w:t>
            </w:r>
            <w:r>
              <w:t xml:space="preserve">ther </w:t>
            </w:r>
            <w:r w:rsidR="00B94431">
              <w:t>T</w:t>
            </w:r>
            <w:r>
              <w:t>imes</w:t>
            </w:r>
          </w:p>
        </w:tc>
        <w:tc>
          <w:tcPr>
            <w:tcW w:w="4306" w:type="dxa"/>
          </w:tcPr>
          <w:p w14:paraId="11443774" w14:textId="265024CF" w:rsidR="00711D76" w:rsidRDefault="00711D76" w:rsidP="00545930">
            <w:r w:rsidRPr="3D9E151B">
              <w:rPr>
                <w:color w:val="4EA72E" w:themeColor="accent6"/>
              </w:rPr>
              <w:t>Green</w:t>
            </w:r>
          </w:p>
        </w:tc>
      </w:tr>
    </w:tbl>
    <w:p w14:paraId="58FDA0E3" w14:textId="50E45862" w:rsidR="1507315F" w:rsidRDefault="1507315F" w:rsidP="1507315F"/>
    <w:p w14:paraId="241E7017" w14:textId="16EBD78B" w:rsidR="47C5BFE1" w:rsidRDefault="47C5BFE1" w:rsidP="64FAD574">
      <w:r>
        <w:t xml:space="preserve">Please refer to the following web page for specific dates for Change Freeze Periods: </w:t>
      </w:r>
    </w:p>
    <w:p w14:paraId="1F40F0E0" w14:textId="3517E724" w:rsidR="47C5BFE1" w:rsidRDefault="47C5BFE1" w:rsidP="64FAD574">
      <w:hyperlink r:id="rId11">
        <w:r w:rsidRPr="64FAD574">
          <w:rPr>
            <w:rStyle w:val="Hyperlink"/>
          </w:rPr>
          <w:t>https://faqs.aber.ac.uk/9505</w:t>
        </w:r>
      </w:hyperlink>
      <w:r>
        <w:t xml:space="preserve"> </w:t>
      </w:r>
    </w:p>
    <w:p w14:paraId="0183FC59" w14:textId="761AE7A7" w:rsidR="008E0D33" w:rsidRDefault="00374608" w:rsidP="00676CA2">
      <w:pPr>
        <w:pStyle w:val="Heading2"/>
      </w:pPr>
      <w:r>
        <w:lastRenderedPageBreak/>
        <w:t>2</w:t>
      </w:r>
      <w:r w:rsidR="00676CA2">
        <w:t xml:space="preserve">.0 </w:t>
      </w:r>
      <w:r w:rsidR="002C6E0B">
        <w:t>Green Phase</w:t>
      </w:r>
    </w:p>
    <w:p w14:paraId="73F0C5EB" w14:textId="0452C179" w:rsidR="00093357" w:rsidRDefault="00CC6AE9" w:rsidP="00093357">
      <w:r>
        <w:t xml:space="preserve">The Green phase </w:t>
      </w:r>
      <w:r w:rsidR="00AC5E56">
        <w:t>is business as usual. Requests for change</w:t>
      </w:r>
      <w:r w:rsidR="00ED0AF6">
        <w:t xml:space="preserve">s </w:t>
      </w:r>
      <w:r w:rsidR="00695BE3">
        <w:t xml:space="preserve">SHOULD </w:t>
      </w:r>
      <w:r w:rsidR="00ED0AF6">
        <w:t>be submitted via usual channels e.g., the IT Service Desk, or web forms</w:t>
      </w:r>
      <w:r w:rsidR="00BD0C9F">
        <w:t>.</w:t>
      </w:r>
      <w:r w:rsidR="00ED0AF6">
        <w:t xml:space="preserve"> </w:t>
      </w:r>
    </w:p>
    <w:p w14:paraId="201239BF" w14:textId="0A371019" w:rsidR="002C6E0B" w:rsidRDefault="00374608" w:rsidP="002C6E0B">
      <w:pPr>
        <w:pStyle w:val="Heading2"/>
      </w:pPr>
      <w:r>
        <w:t>3</w:t>
      </w:r>
      <w:r w:rsidR="002C6E0B">
        <w:t>.0 Amber Phase</w:t>
      </w:r>
    </w:p>
    <w:p w14:paraId="6421F568" w14:textId="06D31E3E" w:rsidR="007010FB" w:rsidRDefault="008525D2" w:rsidP="008525D2">
      <w:r>
        <w:t xml:space="preserve">The Amber </w:t>
      </w:r>
      <w:r w:rsidR="003115DE">
        <w:t>P</w:t>
      </w:r>
      <w:r>
        <w:t xml:space="preserve">hase is used </w:t>
      </w:r>
      <w:r w:rsidR="000D2E85">
        <w:t xml:space="preserve">in </w:t>
      </w:r>
      <w:r>
        <w:t>the week(s) leading up to critical times in the University calendar</w:t>
      </w:r>
      <w:r w:rsidR="00077F33">
        <w:t>. F</w:t>
      </w:r>
      <w:r>
        <w:t xml:space="preserve">or example, the week before clearing. </w:t>
      </w:r>
      <w:r w:rsidR="004E513F">
        <w:t xml:space="preserve">During this phase, </w:t>
      </w:r>
      <w:r w:rsidR="3652EF91">
        <w:t>Information Technology Services</w:t>
      </w:r>
      <w:r w:rsidR="00FC64B6">
        <w:t xml:space="preserve"> technical staff</w:t>
      </w:r>
      <w:r w:rsidR="004E513F">
        <w:t xml:space="preserve"> </w:t>
      </w:r>
      <w:r w:rsidR="00485DFD">
        <w:t xml:space="preserve">MUST </w:t>
      </w:r>
      <w:r w:rsidR="004E513F">
        <w:t xml:space="preserve">cease </w:t>
      </w:r>
      <w:r w:rsidR="00872B8E">
        <w:t xml:space="preserve">non-critical </w:t>
      </w:r>
      <w:r w:rsidR="004E513F">
        <w:t>work</w:t>
      </w:r>
      <w:r w:rsidR="00F425CE">
        <w:t xml:space="preserve"> on IT systems. </w:t>
      </w:r>
      <w:r w:rsidR="004A2416">
        <w:t xml:space="preserve">The default stance will be to postpone changes until a return to </w:t>
      </w:r>
      <w:r w:rsidR="001D6FE6">
        <w:t xml:space="preserve">the </w:t>
      </w:r>
      <w:r w:rsidR="004A2416">
        <w:t>Green Phase.</w:t>
      </w:r>
    </w:p>
    <w:p w14:paraId="17B59DF6" w14:textId="24E2A8C3" w:rsidR="0062474F" w:rsidRDefault="0062474F" w:rsidP="008525D2">
      <w:r>
        <w:t>ALL changes MUST be risk-assessed prior to being performed.</w:t>
      </w:r>
    </w:p>
    <w:p w14:paraId="6C06422B" w14:textId="00A0B47C" w:rsidR="00D90D37" w:rsidRDefault="0062474F" w:rsidP="008525D2">
      <w:r>
        <w:t xml:space="preserve">Changes </w:t>
      </w:r>
      <w:r w:rsidR="00770BB7">
        <w:t xml:space="preserve">with a risk of </w:t>
      </w:r>
      <w:r w:rsidR="009C6A9A" w:rsidRPr="3F9364B6">
        <w:rPr>
          <w:b/>
          <w:bCs/>
        </w:rPr>
        <w:t>HIGH OR ABOVE</w:t>
      </w:r>
      <w:r w:rsidR="003B0575">
        <w:t xml:space="preserve"> </w:t>
      </w:r>
      <w:r w:rsidR="0001585C">
        <w:t xml:space="preserve">MUST </w:t>
      </w:r>
      <w:r w:rsidR="00F425CE">
        <w:t>NOT be made</w:t>
      </w:r>
      <w:r w:rsidR="00775722">
        <w:t xml:space="preserve"> </w:t>
      </w:r>
      <w:r w:rsidR="00D90D37">
        <w:t xml:space="preserve">unless there is a clearly defined business </w:t>
      </w:r>
      <w:r w:rsidR="00775722">
        <w:t>need</w:t>
      </w:r>
      <w:r w:rsidR="00FE4159">
        <w:t>,</w:t>
      </w:r>
      <w:r w:rsidR="00D90D37">
        <w:t xml:space="preserve"> and the change is</w:t>
      </w:r>
      <w:r w:rsidR="00551D77">
        <w:t xml:space="preserve"> explicitly a</w:t>
      </w:r>
      <w:r w:rsidR="00D90D37">
        <w:t xml:space="preserve">pproved by </w:t>
      </w:r>
      <w:r w:rsidR="00131490">
        <w:t xml:space="preserve">both </w:t>
      </w:r>
      <w:r w:rsidR="00D90D37">
        <w:t xml:space="preserve">the </w:t>
      </w:r>
      <w:r w:rsidR="19D376E8">
        <w:t>Chief Digital Officer</w:t>
      </w:r>
      <w:r w:rsidR="00131490">
        <w:t xml:space="preserve"> and the asset owner(s) of affected system(s)</w:t>
      </w:r>
      <w:r w:rsidR="00551D77">
        <w:t>.</w:t>
      </w:r>
      <w:r w:rsidR="00EE0895">
        <w:t xml:space="preserve"> </w:t>
      </w:r>
    </w:p>
    <w:p w14:paraId="5ED86ED9" w14:textId="63DEEBBB" w:rsidR="00D90D37" w:rsidRPr="008525D2" w:rsidRDefault="00371D06" w:rsidP="008525D2">
      <w:r>
        <w:t xml:space="preserve">Changes made during this phase </w:t>
      </w:r>
      <w:r w:rsidR="4774D51D">
        <w:t xml:space="preserve">MUST </w:t>
      </w:r>
      <w:r>
        <w:t>be p</w:t>
      </w:r>
      <w:r w:rsidR="7A1FD12E">
        <w:t xml:space="preserve">erformed using </w:t>
      </w:r>
      <w:r w:rsidR="196EE937">
        <w:t xml:space="preserve">the </w:t>
      </w:r>
      <w:r w:rsidR="4FD79E35">
        <w:t>approach</w:t>
      </w:r>
      <w:r w:rsidR="196EE937">
        <w:t xml:space="preserve"> </w:t>
      </w:r>
      <w:r w:rsidR="02D3595D">
        <w:t xml:space="preserve">detailed in </w:t>
      </w:r>
      <w:r w:rsidR="224568AC">
        <w:t>S</w:t>
      </w:r>
      <w:r w:rsidR="02D3595D">
        <w:t xml:space="preserve">ection </w:t>
      </w:r>
      <w:r w:rsidR="6338B99B">
        <w:t>7</w:t>
      </w:r>
      <w:r w:rsidR="02D3595D">
        <w:t>.0 of this policy.</w:t>
      </w:r>
    </w:p>
    <w:p w14:paraId="3F9877E6" w14:textId="7C752C3B" w:rsidR="006F7EB5" w:rsidRDefault="00374608" w:rsidP="002C6E0B">
      <w:pPr>
        <w:pStyle w:val="Heading2"/>
      </w:pPr>
      <w:r>
        <w:t>4</w:t>
      </w:r>
      <w:r w:rsidR="002C6E0B">
        <w:t>.0 Red Phase</w:t>
      </w:r>
    </w:p>
    <w:p w14:paraId="4AE6D164" w14:textId="12D687C4" w:rsidR="0054044F" w:rsidRDefault="009A3837" w:rsidP="007E3184">
      <w:r>
        <w:t xml:space="preserve">This phase is </w:t>
      </w:r>
      <w:r w:rsidR="00AD604C">
        <w:t>primarily</w:t>
      </w:r>
      <w:r>
        <w:t xml:space="preserve"> </w:t>
      </w:r>
      <w:r w:rsidR="00A17A02">
        <w:t>used</w:t>
      </w:r>
      <w:r>
        <w:t xml:space="preserve"> </w:t>
      </w:r>
      <w:r w:rsidR="00A17A02">
        <w:t>during</w:t>
      </w:r>
      <w:r>
        <w:t xml:space="preserve"> the </w:t>
      </w:r>
      <w:r w:rsidR="00983FEB">
        <w:t>week containing the A-Level Results Day</w:t>
      </w:r>
      <w:r w:rsidR="0028125E">
        <w:t>.</w:t>
      </w:r>
      <w:r w:rsidR="00D41817">
        <w:t xml:space="preserve"> The default stance will be to postpone changes until a return to </w:t>
      </w:r>
      <w:r w:rsidR="001D6FE6">
        <w:t xml:space="preserve">the </w:t>
      </w:r>
      <w:r w:rsidR="00D41817">
        <w:t>Green Phase.</w:t>
      </w:r>
    </w:p>
    <w:p w14:paraId="35FE5DA4" w14:textId="5B61F4CF" w:rsidR="00B5437B" w:rsidRDefault="3F4A299F" w:rsidP="007E3184">
      <w:r>
        <w:t>ALL changes MUST be risk-assessed prior to being performed</w:t>
      </w:r>
      <w:r w:rsidR="76969338">
        <w:t xml:space="preserve"> in accordance with Section 6.0</w:t>
      </w:r>
    </w:p>
    <w:p w14:paraId="797FCC72" w14:textId="728439A1" w:rsidR="0001585C" w:rsidRDefault="0001585C" w:rsidP="007E3184">
      <w:r>
        <w:t>Changes</w:t>
      </w:r>
      <w:r w:rsidR="00FE1377">
        <w:t xml:space="preserve"> with a resulting risk of </w:t>
      </w:r>
      <w:r w:rsidR="0066633B" w:rsidRPr="3F3B3CC0">
        <w:rPr>
          <w:b/>
          <w:bCs/>
        </w:rPr>
        <w:t>MEDIUM OR ABOVE</w:t>
      </w:r>
      <w:r>
        <w:t xml:space="preserve"> MUST </w:t>
      </w:r>
      <w:r w:rsidR="009F483C">
        <w:t xml:space="preserve">NOT be made without the explicit </w:t>
      </w:r>
      <w:r w:rsidR="00790B38">
        <w:t>authorization</w:t>
      </w:r>
      <w:r w:rsidR="009F483C">
        <w:t xml:space="preserve"> of the </w:t>
      </w:r>
      <w:r w:rsidR="20601B22">
        <w:t>Chief Financial Officer or t</w:t>
      </w:r>
      <w:r w:rsidR="000709F2">
        <w:t xml:space="preserve">he </w:t>
      </w:r>
      <w:r w:rsidR="388DD202">
        <w:t>Chief Digital Officer</w:t>
      </w:r>
      <w:r w:rsidR="000709F2">
        <w:t>, and the asset owner(s) of affected system(s).</w:t>
      </w:r>
    </w:p>
    <w:p w14:paraId="646FB726" w14:textId="2BEA6094" w:rsidR="005B0CE4" w:rsidRDefault="005B0CE4" w:rsidP="007E3184">
      <w:r>
        <w:t xml:space="preserve">Changes made during this phase MUST be performed using the approach detailed in Section </w:t>
      </w:r>
      <w:r w:rsidR="0089629E">
        <w:t>7</w:t>
      </w:r>
      <w:r>
        <w:t>.0 of this policy</w:t>
      </w:r>
      <w:r w:rsidR="02D8502D">
        <w:t>.</w:t>
      </w:r>
    </w:p>
    <w:p w14:paraId="32A5641E" w14:textId="69E38D02" w:rsidR="00A05581" w:rsidRDefault="49809FBC" w:rsidP="00A05581">
      <w:pPr>
        <w:pStyle w:val="Heading2"/>
      </w:pPr>
      <w:r>
        <w:t>5</w:t>
      </w:r>
      <w:r w:rsidR="5FBA7213">
        <w:t xml:space="preserve">.0 </w:t>
      </w:r>
      <w:r w:rsidR="7511C236">
        <w:t>Emergency Changes</w:t>
      </w:r>
    </w:p>
    <w:p w14:paraId="468D4C81" w14:textId="5108FF82" w:rsidR="00564A53" w:rsidRDefault="3652EF91" w:rsidP="00564A53">
      <w:r>
        <w:t>Information Technology Services</w:t>
      </w:r>
      <w:r w:rsidR="00564A53">
        <w:t xml:space="preserve"> may</w:t>
      </w:r>
      <w:r w:rsidR="00A05581">
        <w:t xml:space="preserve"> </w:t>
      </w:r>
      <w:r w:rsidR="00564A53">
        <w:t>be required to make emergency, unplanned changes to IT systems during Change Freeze periods where failure to act may result in one of the following outcomes:</w:t>
      </w:r>
    </w:p>
    <w:p w14:paraId="35BCD8B7" w14:textId="77777777" w:rsidR="00564A53" w:rsidRDefault="00564A53" w:rsidP="00564A53">
      <w:pPr>
        <w:pStyle w:val="ListParagraph"/>
        <w:numPr>
          <w:ilvl w:val="0"/>
          <w:numId w:val="2"/>
        </w:numPr>
      </w:pPr>
      <w:r>
        <w:t>Cyber attack</w:t>
      </w:r>
    </w:p>
    <w:p w14:paraId="3671F1C2" w14:textId="6BA3928A" w:rsidR="00564A53" w:rsidRDefault="00FE17C8" w:rsidP="00A00AB9">
      <w:pPr>
        <w:pStyle w:val="ListParagraph"/>
        <w:numPr>
          <w:ilvl w:val="0"/>
          <w:numId w:val="2"/>
        </w:numPr>
      </w:pPr>
      <w:r>
        <w:t>Large scale d</w:t>
      </w:r>
      <w:r w:rsidR="00564A53">
        <w:t>ata loss</w:t>
      </w:r>
      <w:r>
        <w:t xml:space="preserve"> or service outage</w:t>
      </w:r>
    </w:p>
    <w:p w14:paraId="33034AF3" w14:textId="0E8F0408" w:rsidR="009A2194" w:rsidRDefault="00564A53" w:rsidP="009A2194">
      <w:pPr>
        <w:pStyle w:val="ListParagraph"/>
        <w:numPr>
          <w:ilvl w:val="0"/>
          <w:numId w:val="2"/>
        </w:numPr>
      </w:pPr>
      <w:r>
        <w:t>Risk to physical safety of people and buildings (e.g., issues with CCTV systems, door access</w:t>
      </w:r>
      <w:r w:rsidR="00A729BC">
        <w:t>, or building management systems</w:t>
      </w:r>
      <w:r>
        <w:t>)</w:t>
      </w:r>
    </w:p>
    <w:p w14:paraId="6ED90D09" w14:textId="62CB39A3" w:rsidR="00DF4BDA" w:rsidRDefault="00DF35DC" w:rsidP="000E3500">
      <w:r>
        <w:t>B</w:t>
      </w:r>
      <w:r w:rsidR="00FD708D">
        <w:t>EFORE</w:t>
      </w:r>
      <w:r>
        <w:t xml:space="preserve"> these</w:t>
      </w:r>
      <w:r w:rsidR="00FE4159">
        <w:t xml:space="preserve"> changes </w:t>
      </w:r>
      <w:r>
        <w:t>are</w:t>
      </w:r>
      <w:r w:rsidR="00FE4159">
        <w:t xml:space="preserve"> made, the</w:t>
      </w:r>
      <w:r w:rsidR="00FD3AB8">
        <w:t xml:space="preserve"> approval of a senior member of </w:t>
      </w:r>
      <w:r w:rsidR="3652EF91">
        <w:t>Information Technology Services</w:t>
      </w:r>
      <w:r w:rsidR="00FD3AB8">
        <w:t xml:space="preserve"> technical staff with appropriate knowledge on affected system(s)</w:t>
      </w:r>
      <w:r w:rsidR="00960BFD">
        <w:t xml:space="preserve"> MUST be sought</w:t>
      </w:r>
      <w:r w:rsidR="00FD3AB8">
        <w:t>.</w:t>
      </w:r>
      <w:r w:rsidR="001E7767">
        <w:t xml:space="preserve"> </w:t>
      </w:r>
      <w:r>
        <w:br/>
      </w:r>
      <w:r>
        <w:br/>
      </w:r>
      <w:r w:rsidR="00DF4BDA">
        <w:t>Changes MUST be made in accordance with Section</w:t>
      </w:r>
      <w:r w:rsidR="4BFA56BB">
        <w:t>s 6.0 and</w:t>
      </w:r>
      <w:r w:rsidR="00DF4BDA">
        <w:t xml:space="preserve"> </w:t>
      </w:r>
      <w:r w:rsidR="0089629E">
        <w:t>7</w:t>
      </w:r>
      <w:r w:rsidR="00DF4BDA">
        <w:t>.0 of this policy.</w:t>
      </w:r>
    </w:p>
    <w:p w14:paraId="6994BD2E" w14:textId="5492AFA5" w:rsidR="0089629E" w:rsidRDefault="0089629E" w:rsidP="0089629E">
      <w:pPr>
        <w:pStyle w:val="Heading2"/>
      </w:pPr>
      <w:r>
        <w:lastRenderedPageBreak/>
        <w:t>6.0 Risk Assessing Changes</w:t>
      </w:r>
    </w:p>
    <w:p w14:paraId="05B3FE9F" w14:textId="77777777" w:rsidR="003E2308" w:rsidRDefault="00B65145" w:rsidP="0089629E">
      <w:r>
        <w:t xml:space="preserve">During Amber and Red Change Freezes, ALL changes MUST be risk assessed </w:t>
      </w:r>
      <w:r w:rsidR="003E2308">
        <w:t>using the risk matrix below.</w:t>
      </w:r>
    </w:p>
    <w:p w14:paraId="46E33018" w14:textId="136C2F8B" w:rsidR="00ED5A4A" w:rsidRDefault="00ED5A4A" w:rsidP="00ED5A4A">
      <w:pPr>
        <w:jc w:val="center"/>
      </w:pPr>
      <w:r>
        <w:rPr>
          <w:noProof/>
        </w:rPr>
        <w:drawing>
          <wp:inline distT="0" distB="0" distL="0" distR="0" wp14:anchorId="3868AA1C" wp14:editId="742BEFA7">
            <wp:extent cx="3702050" cy="2241492"/>
            <wp:effectExtent l="0" t="0" r="0" b="0"/>
            <wp:docPr id="2130502818" name="Picture 1" descr="A table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02818" name="Picture 1" descr="A table with different colored squar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194" cy="224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8AD4A" w14:textId="68E38B74" w:rsidR="00B65145" w:rsidRPr="0089629E" w:rsidRDefault="00B65145" w:rsidP="0089629E">
      <w:r>
        <w:t>Mitigating controls MUST be identified and recorded</w:t>
      </w:r>
      <w:r w:rsidR="003E2308">
        <w:t xml:space="preserve"> for each individual risk.</w:t>
      </w:r>
      <w:r w:rsidR="007B7CDD">
        <w:t xml:space="preserve"> </w:t>
      </w:r>
      <w:r w:rsidR="007B7CDD" w:rsidRPr="007B7CDD">
        <w:t xml:space="preserve">Where risk managers have exhausted all mitigations within their own resources, risks MUST be escalated to an </w:t>
      </w:r>
      <w:r w:rsidR="00682D77" w:rsidRPr="007B7CDD">
        <w:t>appropriate</w:t>
      </w:r>
      <w:r w:rsidR="007B7CDD" w:rsidRPr="007B7CDD">
        <w:t xml:space="preserve"> risk owner with suggested additional </w:t>
      </w:r>
      <w:r w:rsidR="001C35FA" w:rsidRPr="007B7CDD">
        <w:t>mitigation</w:t>
      </w:r>
      <w:r w:rsidR="007B7CDD" w:rsidRPr="007B7CDD">
        <w:t xml:space="preserve"> options.</w:t>
      </w:r>
    </w:p>
    <w:p w14:paraId="14D9E77D" w14:textId="5934C478" w:rsidR="00FE4159" w:rsidRDefault="0089629E" w:rsidP="00E44381">
      <w:pPr>
        <w:pStyle w:val="Heading2"/>
      </w:pPr>
      <w:r>
        <w:t>7</w:t>
      </w:r>
      <w:r w:rsidR="00E44381">
        <w:t xml:space="preserve">.0 Executing </w:t>
      </w:r>
      <w:r w:rsidR="005B7605">
        <w:t>c</w:t>
      </w:r>
      <w:r w:rsidR="00E44381">
        <w:t xml:space="preserve">hange during </w:t>
      </w:r>
      <w:r w:rsidR="1F55796E">
        <w:t xml:space="preserve">Amber and Red </w:t>
      </w:r>
      <w:r w:rsidR="00E44381">
        <w:t>Change Freezes</w:t>
      </w:r>
    </w:p>
    <w:p w14:paraId="4D6F4FA1" w14:textId="1B8F5D22" w:rsidR="00E44381" w:rsidRDefault="00E44381" w:rsidP="00E44381">
      <w:r>
        <w:t>Once appropriate approval has been sought, any changes made whilst the University is in an Amber or Red Change Freeze MUST follow the following procedure:</w:t>
      </w:r>
    </w:p>
    <w:p w14:paraId="1EE2C905" w14:textId="35EE2AFC" w:rsidR="00912488" w:rsidRDefault="00912488" w:rsidP="00E44381">
      <w:pPr>
        <w:pStyle w:val="ListParagraph"/>
        <w:numPr>
          <w:ilvl w:val="0"/>
          <w:numId w:val="2"/>
        </w:numPr>
      </w:pPr>
      <w:r>
        <w:t>A risk assessment MUST be performed in accordance with Section 6.0 of this policy BEFORE any chan</w:t>
      </w:r>
      <w:r w:rsidR="00C21CE3">
        <w:t>ge</w:t>
      </w:r>
      <w:r>
        <w:t xml:space="preserve"> is made.</w:t>
      </w:r>
      <w:r>
        <w:br/>
      </w:r>
    </w:p>
    <w:p w14:paraId="75965CCF" w14:textId="1458FA1F" w:rsidR="00E44381" w:rsidRDefault="001A0BC6" w:rsidP="00912488">
      <w:pPr>
        <w:pStyle w:val="ListParagraph"/>
        <w:numPr>
          <w:ilvl w:val="0"/>
          <w:numId w:val="2"/>
        </w:numPr>
      </w:pPr>
      <w:r>
        <w:t>The</w:t>
      </w:r>
      <w:r w:rsidR="000F5A74">
        <w:t xml:space="preserve"> </w:t>
      </w:r>
      <w:r>
        <w:t>two-person rule</w:t>
      </w:r>
      <w:r w:rsidR="000F5A74">
        <w:t xml:space="preserve"> MUST be followed during all</w:t>
      </w:r>
      <w:r w:rsidR="00D63BA8">
        <w:t xml:space="preserve"> stages of the change. </w:t>
      </w:r>
      <w:r w:rsidR="004A2349">
        <w:t xml:space="preserve">No one individual should act alone without consultation with others. </w:t>
      </w:r>
      <w:r w:rsidR="008D5E38">
        <w:t xml:space="preserve">At least one person involved MUST be a senior member of Information </w:t>
      </w:r>
      <w:r w:rsidR="7F7E36EE">
        <w:t xml:space="preserve">Technology </w:t>
      </w:r>
      <w:r w:rsidR="008D5E38">
        <w:t>Services technical staff with specific knowledge on the affected system(s).</w:t>
      </w:r>
      <w:r>
        <w:br/>
      </w:r>
    </w:p>
    <w:p w14:paraId="497596D3" w14:textId="590A8172" w:rsidR="00E44381" w:rsidRDefault="0089629E" w:rsidP="00A60D98">
      <w:pPr>
        <w:pStyle w:val="Heading2"/>
      </w:pPr>
      <w:r>
        <w:t>8</w:t>
      </w:r>
      <w:r w:rsidR="00A60D98">
        <w:t>.0 Definitions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A90F09" w14:paraId="2E92F54A" w14:textId="77777777" w:rsidTr="5C5D8D8F">
        <w:tc>
          <w:tcPr>
            <w:tcW w:w="3964" w:type="dxa"/>
          </w:tcPr>
          <w:p w14:paraId="7D8562E7" w14:textId="46C2731B" w:rsidR="00A90F09" w:rsidRDefault="00A90F09" w:rsidP="00A60D98">
            <w:r>
              <w:t>Change</w:t>
            </w:r>
          </w:p>
        </w:tc>
        <w:tc>
          <w:tcPr>
            <w:tcW w:w="5670" w:type="dxa"/>
          </w:tcPr>
          <w:p w14:paraId="013021F2" w14:textId="1B1A82BC" w:rsidR="00A90F09" w:rsidRDefault="35834510" w:rsidP="00A60D98">
            <w:r>
              <w:t xml:space="preserve">Any alteration to a system, process, </w:t>
            </w:r>
            <w:r w:rsidR="7346A99C">
              <w:t xml:space="preserve">data, </w:t>
            </w:r>
            <w:r>
              <w:t>or configuration which has the possibility to have an adverse impact</w:t>
            </w:r>
            <w:r w:rsidR="5407C4EE">
              <w:t>.</w:t>
            </w:r>
          </w:p>
        </w:tc>
      </w:tr>
      <w:tr w:rsidR="00A60D98" w14:paraId="2194AEB8" w14:textId="77777777" w:rsidTr="5C5D8D8F">
        <w:tc>
          <w:tcPr>
            <w:tcW w:w="3964" w:type="dxa"/>
          </w:tcPr>
          <w:p w14:paraId="271B6744" w14:textId="342080E7" w:rsidR="00A60D98" w:rsidRDefault="00A60D98" w:rsidP="00A60D98">
            <w:r>
              <w:t xml:space="preserve">Senior Member of Information </w:t>
            </w:r>
            <w:r w:rsidR="702F3B91">
              <w:t xml:space="preserve">Technology </w:t>
            </w:r>
            <w:r>
              <w:t xml:space="preserve">Services </w:t>
            </w:r>
            <w:r w:rsidR="544F2E3D">
              <w:t xml:space="preserve">Technical </w:t>
            </w:r>
            <w:r>
              <w:t>Staff</w:t>
            </w:r>
          </w:p>
        </w:tc>
        <w:tc>
          <w:tcPr>
            <w:tcW w:w="5670" w:type="dxa"/>
          </w:tcPr>
          <w:p w14:paraId="6155546C" w14:textId="17D7E86C" w:rsidR="00A60D98" w:rsidRDefault="00A60D98" w:rsidP="00A60D98">
            <w:r>
              <w:t>A</w:t>
            </w:r>
            <w:r w:rsidR="0C010F20">
              <w:t>n individual who is either a manager, team leader, or equivalent position of seniority within an IS technical team.</w:t>
            </w:r>
          </w:p>
        </w:tc>
      </w:tr>
      <w:tr w:rsidR="00A60D98" w14:paraId="7FCC8003" w14:textId="77777777" w:rsidTr="5C5D8D8F">
        <w:tc>
          <w:tcPr>
            <w:tcW w:w="3964" w:type="dxa"/>
          </w:tcPr>
          <w:p w14:paraId="5FFF8981" w14:textId="71530A25" w:rsidR="00A60D98" w:rsidRDefault="000563F3" w:rsidP="00A60D98">
            <w:r>
              <w:t>Asset Owner</w:t>
            </w:r>
          </w:p>
        </w:tc>
        <w:tc>
          <w:tcPr>
            <w:tcW w:w="5670" w:type="dxa"/>
          </w:tcPr>
          <w:p w14:paraId="694B10B3" w14:textId="4D61BE49" w:rsidR="00A60D98" w:rsidRDefault="000563F3" w:rsidP="00A60D98">
            <w:r>
              <w:t xml:space="preserve">Individual(s) responsible for </w:t>
            </w:r>
            <w:r w:rsidR="005760FF">
              <w:t>specific IT systems</w:t>
            </w:r>
            <w:r w:rsidR="289A9875">
              <w:t>.</w:t>
            </w:r>
          </w:p>
        </w:tc>
      </w:tr>
    </w:tbl>
    <w:p w14:paraId="100D5C4C" w14:textId="77777777" w:rsidR="007703FC" w:rsidRPr="007703FC" w:rsidRDefault="007703FC" w:rsidP="007703FC"/>
    <w:sectPr w:rsidR="007703FC" w:rsidRPr="00770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98A9" w14:textId="77777777" w:rsidR="000F0830" w:rsidRDefault="000F0830" w:rsidP="00B43468">
      <w:pPr>
        <w:spacing w:after="0" w:line="240" w:lineRule="auto"/>
      </w:pPr>
      <w:r>
        <w:separator/>
      </w:r>
    </w:p>
  </w:endnote>
  <w:endnote w:type="continuationSeparator" w:id="0">
    <w:p w14:paraId="2A4B1B11" w14:textId="77777777" w:rsidR="000F0830" w:rsidRDefault="000F0830" w:rsidP="00B43468">
      <w:pPr>
        <w:spacing w:after="0" w:line="240" w:lineRule="auto"/>
      </w:pPr>
      <w:r>
        <w:continuationSeparator/>
      </w:r>
    </w:p>
  </w:endnote>
  <w:endnote w:type="continuationNotice" w:id="1">
    <w:p w14:paraId="050CD380" w14:textId="77777777" w:rsidR="000F0830" w:rsidRDefault="000F0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CBB1" w14:textId="77777777" w:rsidR="000F0830" w:rsidRDefault="000F0830" w:rsidP="00B43468">
      <w:pPr>
        <w:spacing w:after="0" w:line="240" w:lineRule="auto"/>
      </w:pPr>
      <w:r>
        <w:separator/>
      </w:r>
    </w:p>
  </w:footnote>
  <w:footnote w:type="continuationSeparator" w:id="0">
    <w:p w14:paraId="09B44C2D" w14:textId="77777777" w:rsidR="000F0830" w:rsidRDefault="000F0830" w:rsidP="00B43468">
      <w:pPr>
        <w:spacing w:after="0" w:line="240" w:lineRule="auto"/>
      </w:pPr>
      <w:r>
        <w:continuationSeparator/>
      </w:r>
    </w:p>
  </w:footnote>
  <w:footnote w:type="continuationNotice" w:id="1">
    <w:p w14:paraId="4101E818" w14:textId="77777777" w:rsidR="000F0830" w:rsidRDefault="000F0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30026"/>
    <w:multiLevelType w:val="hybridMultilevel"/>
    <w:tmpl w:val="7FB4A0C4"/>
    <w:lvl w:ilvl="0" w:tplc="767E4FE6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35C37"/>
    <w:multiLevelType w:val="hybridMultilevel"/>
    <w:tmpl w:val="5DE0BF4A"/>
    <w:lvl w:ilvl="0" w:tplc="64663BE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31804">
    <w:abstractNumId w:val="1"/>
  </w:num>
  <w:num w:numId="2" w16cid:durableId="11008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CB"/>
    <w:rsid w:val="0001585C"/>
    <w:rsid w:val="00016337"/>
    <w:rsid w:val="00017B4A"/>
    <w:rsid w:val="00022CF2"/>
    <w:rsid w:val="00045A88"/>
    <w:rsid w:val="000563F3"/>
    <w:rsid w:val="000709F2"/>
    <w:rsid w:val="0007640A"/>
    <w:rsid w:val="00077F33"/>
    <w:rsid w:val="00086C58"/>
    <w:rsid w:val="00090553"/>
    <w:rsid w:val="00093357"/>
    <w:rsid w:val="000A1C6C"/>
    <w:rsid w:val="000A1D2C"/>
    <w:rsid w:val="000B08EA"/>
    <w:rsid w:val="000B3AD1"/>
    <w:rsid w:val="000C3CCD"/>
    <w:rsid w:val="000D2E85"/>
    <w:rsid w:val="000E1189"/>
    <w:rsid w:val="000E3500"/>
    <w:rsid w:val="000F00EC"/>
    <w:rsid w:val="000F0830"/>
    <w:rsid w:val="000F5A74"/>
    <w:rsid w:val="00101BE4"/>
    <w:rsid w:val="00111E0D"/>
    <w:rsid w:val="00113817"/>
    <w:rsid w:val="00124306"/>
    <w:rsid w:val="00131490"/>
    <w:rsid w:val="00136623"/>
    <w:rsid w:val="0015523B"/>
    <w:rsid w:val="00160F77"/>
    <w:rsid w:val="00176296"/>
    <w:rsid w:val="0017782F"/>
    <w:rsid w:val="001811A1"/>
    <w:rsid w:val="001825FD"/>
    <w:rsid w:val="001909D9"/>
    <w:rsid w:val="001A0BC6"/>
    <w:rsid w:val="001C35FA"/>
    <w:rsid w:val="001C648A"/>
    <w:rsid w:val="001C6AB6"/>
    <w:rsid w:val="001D6FE6"/>
    <w:rsid w:val="001E50C1"/>
    <w:rsid w:val="001E7767"/>
    <w:rsid w:val="001EBF0A"/>
    <w:rsid w:val="001F060E"/>
    <w:rsid w:val="001F292B"/>
    <w:rsid w:val="00206BAC"/>
    <w:rsid w:val="0021383B"/>
    <w:rsid w:val="00216DE6"/>
    <w:rsid w:val="00224F7C"/>
    <w:rsid w:val="00235AE6"/>
    <w:rsid w:val="00251478"/>
    <w:rsid w:val="00257B0C"/>
    <w:rsid w:val="0028125E"/>
    <w:rsid w:val="002818A5"/>
    <w:rsid w:val="00293A77"/>
    <w:rsid w:val="0029627D"/>
    <w:rsid w:val="002A7804"/>
    <w:rsid w:val="002B305D"/>
    <w:rsid w:val="002C6E0B"/>
    <w:rsid w:val="002D1666"/>
    <w:rsid w:val="002D1DC9"/>
    <w:rsid w:val="002D1FBC"/>
    <w:rsid w:val="002E69BA"/>
    <w:rsid w:val="002F057A"/>
    <w:rsid w:val="002F0A8F"/>
    <w:rsid w:val="002F26D2"/>
    <w:rsid w:val="0030163A"/>
    <w:rsid w:val="003115DE"/>
    <w:rsid w:val="00316764"/>
    <w:rsid w:val="0032506D"/>
    <w:rsid w:val="003330C8"/>
    <w:rsid w:val="00333775"/>
    <w:rsid w:val="00334337"/>
    <w:rsid w:val="00334488"/>
    <w:rsid w:val="00336E9D"/>
    <w:rsid w:val="0035282E"/>
    <w:rsid w:val="00371D06"/>
    <w:rsid w:val="00374608"/>
    <w:rsid w:val="0038186C"/>
    <w:rsid w:val="00381DF7"/>
    <w:rsid w:val="00381FE3"/>
    <w:rsid w:val="003823A9"/>
    <w:rsid w:val="003849E9"/>
    <w:rsid w:val="0039584B"/>
    <w:rsid w:val="003A11B9"/>
    <w:rsid w:val="003B00FA"/>
    <w:rsid w:val="003B0575"/>
    <w:rsid w:val="003B4E1B"/>
    <w:rsid w:val="003C0B2B"/>
    <w:rsid w:val="003C294E"/>
    <w:rsid w:val="003C41A1"/>
    <w:rsid w:val="003D172F"/>
    <w:rsid w:val="003D53A7"/>
    <w:rsid w:val="003E2308"/>
    <w:rsid w:val="003F0435"/>
    <w:rsid w:val="00430E65"/>
    <w:rsid w:val="0043441C"/>
    <w:rsid w:val="004370E7"/>
    <w:rsid w:val="00437922"/>
    <w:rsid w:val="004448D6"/>
    <w:rsid w:val="004467F1"/>
    <w:rsid w:val="00466BA4"/>
    <w:rsid w:val="004678CB"/>
    <w:rsid w:val="00474A07"/>
    <w:rsid w:val="0047581C"/>
    <w:rsid w:val="0047764E"/>
    <w:rsid w:val="004838D9"/>
    <w:rsid w:val="00485DFD"/>
    <w:rsid w:val="00490F28"/>
    <w:rsid w:val="004A21D5"/>
    <w:rsid w:val="004A2349"/>
    <w:rsid w:val="004A2416"/>
    <w:rsid w:val="004A6A76"/>
    <w:rsid w:val="004B22F4"/>
    <w:rsid w:val="004B669D"/>
    <w:rsid w:val="004C12D8"/>
    <w:rsid w:val="004C7FBF"/>
    <w:rsid w:val="004D5A0B"/>
    <w:rsid w:val="004E0180"/>
    <w:rsid w:val="004E513F"/>
    <w:rsid w:val="004F6CAE"/>
    <w:rsid w:val="00510E10"/>
    <w:rsid w:val="00520027"/>
    <w:rsid w:val="0052687B"/>
    <w:rsid w:val="005269C3"/>
    <w:rsid w:val="00533154"/>
    <w:rsid w:val="0054044F"/>
    <w:rsid w:val="00544229"/>
    <w:rsid w:val="00545079"/>
    <w:rsid w:val="00545930"/>
    <w:rsid w:val="005459DC"/>
    <w:rsid w:val="00551D77"/>
    <w:rsid w:val="00551F60"/>
    <w:rsid w:val="00564A53"/>
    <w:rsid w:val="005656F8"/>
    <w:rsid w:val="00572C7E"/>
    <w:rsid w:val="005760FF"/>
    <w:rsid w:val="00580CDC"/>
    <w:rsid w:val="00584556"/>
    <w:rsid w:val="00585B01"/>
    <w:rsid w:val="00591BDB"/>
    <w:rsid w:val="00595B2D"/>
    <w:rsid w:val="005967A1"/>
    <w:rsid w:val="005A2D70"/>
    <w:rsid w:val="005B0CE4"/>
    <w:rsid w:val="005B7605"/>
    <w:rsid w:val="005C6001"/>
    <w:rsid w:val="005D4000"/>
    <w:rsid w:val="005E44C1"/>
    <w:rsid w:val="005E643D"/>
    <w:rsid w:val="005E750E"/>
    <w:rsid w:val="005F36DE"/>
    <w:rsid w:val="005F5AAC"/>
    <w:rsid w:val="00610CCC"/>
    <w:rsid w:val="00611676"/>
    <w:rsid w:val="00621DD0"/>
    <w:rsid w:val="0062474F"/>
    <w:rsid w:val="006327CF"/>
    <w:rsid w:val="006345DC"/>
    <w:rsid w:val="006544B1"/>
    <w:rsid w:val="00663AE3"/>
    <w:rsid w:val="0066633B"/>
    <w:rsid w:val="00667AC0"/>
    <w:rsid w:val="00672C7C"/>
    <w:rsid w:val="00676CA2"/>
    <w:rsid w:val="00682D77"/>
    <w:rsid w:val="00695BE3"/>
    <w:rsid w:val="006A03C2"/>
    <w:rsid w:val="006B071C"/>
    <w:rsid w:val="006E23A4"/>
    <w:rsid w:val="006E5DCD"/>
    <w:rsid w:val="006F34AE"/>
    <w:rsid w:val="006F58AC"/>
    <w:rsid w:val="006F6FA7"/>
    <w:rsid w:val="006F7EB5"/>
    <w:rsid w:val="007010FB"/>
    <w:rsid w:val="00701CED"/>
    <w:rsid w:val="0070557A"/>
    <w:rsid w:val="00711D76"/>
    <w:rsid w:val="0072230A"/>
    <w:rsid w:val="007236AA"/>
    <w:rsid w:val="0072599D"/>
    <w:rsid w:val="00726E6D"/>
    <w:rsid w:val="00734BF8"/>
    <w:rsid w:val="00750432"/>
    <w:rsid w:val="00752E12"/>
    <w:rsid w:val="007703FC"/>
    <w:rsid w:val="00770BB7"/>
    <w:rsid w:val="00775722"/>
    <w:rsid w:val="00784433"/>
    <w:rsid w:val="007853D6"/>
    <w:rsid w:val="00785A04"/>
    <w:rsid w:val="00790B38"/>
    <w:rsid w:val="0079408B"/>
    <w:rsid w:val="007B7CDD"/>
    <w:rsid w:val="007C6B5C"/>
    <w:rsid w:val="007D27BE"/>
    <w:rsid w:val="007D3EF6"/>
    <w:rsid w:val="007D6856"/>
    <w:rsid w:val="007E3184"/>
    <w:rsid w:val="007E3441"/>
    <w:rsid w:val="007E4ABC"/>
    <w:rsid w:val="007F57AC"/>
    <w:rsid w:val="008147D4"/>
    <w:rsid w:val="00817467"/>
    <w:rsid w:val="0082771F"/>
    <w:rsid w:val="00833D39"/>
    <w:rsid w:val="00834EDE"/>
    <w:rsid w:val="00844BAF"/>
    <w:rsid w:val="00851839"/>
    <w:rsid w:val="008525D2"/>
    <w:rsid w:val="00860E72"/>
    <w:rsid w:val="008634E7"/>
    <w:rsid w:val="00871C9C"/>
    <w:rsid w:val="00872B8E"/>
    <w:rsid w:val="0087660C"/>
    <w:rsid w:val="008768BE"/>
    <w:rsid w:val="008809A5"/>
    <w:rsid w:val="0089629E"/>
    <w:rsid w:val="008A4788"/>
    <w:rsid w:val="008A48DD"/>
    <w:rsid w:val="008B3112"/>
    <w:rsid w:val="008B7BBA"/>
    <w:rsid w:val="008D5E38"/>
    <w:rsid w:val="008E0D33"/>
    <w:rsid w:val="008E4986"/>
    <w:rsid w:val="008E4B3A"/>
    <w:rsid w:val="008F654A"/>
    <w:rsid w:val="00906002"/>
    <w:rsid w:val="00912488"/>
    <w:rsid w:val="00921C51"/>
    <w:rsid w:val="00940C41"/>
    <w:rsid w:val="00941734"/>
    <w:rsid w:val="00943904"/>
    <w:rsid w:val="00960BFD"/>
    <w:rsid w:val="0096192E"/>
    <w:rsid w:val="009703C8"/>
    <w:rsid w:val="00971376"/>
    <w:rsid w:val="00983FEB"/>
    <w:rsid w:val="00991C81"/>
    <w:rsid w:val="009A2194"/>
    <w:rsid w:val="009A2351"/>
    <w:rsid w:val="009A3837"/>
    <w:rsid w:val="009A399E"/>
    <w:rsid w:val="009A6CBD"/>
    <w:rsid w:val="009B27E5"/>
    <w:rsid w:val="009B5999"/>
    <w:rsid w:val="009B6DD2"/>
    <w:rsid w:val="009C6A9A"/>
    <w:rsid w:val="009E760D"/>
    <w:rsid w:val="009F483C"/>
    <w:rsid w:val="00A00AB9"/>
    <w:rsid w:val="00A04B2F"/>
    <w:rsid w:val="00A05581"/>
    <w:rsid w:val="00A17A02"/>
    <w:rsid w:val="00A17F23"/>
    <w:rsid w:val="00A20317"/>
    <w:rsid w:val="00A25A90"/>
    <w:rsid w:val="00A33706"/>
    <w:rsid w:val="00A40EE0"/>
    <w:rsid w:val="00A60D98"/>
    <w:rsid w:val="00A65ED9"/>
    <w:rsid w:val="00A729BC"/>
    <w:rsid w:val="00A72F1F"/>
    <w:rsid w:val="00A75212"/>
    <w:rsid w:val="00A775E1"/>
    <w:rsid w:val="00A82BCC"/>
    <w:rsid w:val="00A90F09"/>
    <w:rsid w:val="00A966AC"/>
    <w:rsid w:val="00A9792B"/>
    <w:rsid w:val="00AA1B47"/>
    <w:rsid w:val="00AA4D6C"/>
    <w:rsid w:val="00AC2792"/>
    <w:rsid w:val="00AC4675"/>
    <w:rsid w:val="00AC5E56"/>
    <w:rsid w:val="00AD2DB3"/>
    <w:rsid w:val="00AD3961"/>
    <w:rsid w:val="00AD604C"/>
    <w:rsid w:val="00AD7436"/>
    <w:rsid w:val="00AF3DEB"/>
    <w:rsid w:val="00B0043D"/>
    <w:rsid w:val="00B035C7"/>
    <w:rsid w:val="00B125EC"/>
    <w:rsid w:val="00B20A28"/>
    <w:rsid w:val="00B37B3F"/>
    <w:rsid w:val="00B43468"/>
    <w:rsid w:val="00B53E7D"/>
    <w:rsid w:val="00B5437B"/>
    <w:rsid w:val="00B65145"/>
    <w:rsid w:val="00B709AF"/>
    <w:rsid w:val="00B758CC"/>
    <w:rsid w:val="00B758E4"/>
    <w:rsid w:val="00B81B21"/>
    <w:rsid w:val="00B87D5B"/>
    <w:rsid w:val="00B94431"/>
    <w:rsid w:val="00BB08B7"/>
    <w:rsid w:val="00BC7AE9"/>
    <w:rsid w:val="00BD0C9F"/>
    <w:rsid w:val="00BD1496"/>
    <w:rsid w:val="00BD410A"/>
    <w:rsid w:val="00BE74E8"/>
    <w:rsid w:val="00C12EC8"/>
    <w:rsid w:val="00C178B1"/>
    <w:rsid w:val="00C21CE3"/>
    <w:rsid w:val="00C2372A"/>
    <w:rsid w:val="00C26C14"/>
    <w:rsid w:val="00C44FB9"/>
    <w:rsid w:val="00C570B0"/>
    <w:rsid w:val="00C72AB1"/>
    <w:rsid w:val="00C740A4"/>
    <w:rsid w:val="00C833C5"/>
    <w:rsid w:val="00C94839"/>
    <w:rsid w:val="00C96309"/>
    <w:rsid w:val="00C9672B"/>
    <w:rsid w:val="00CB3BC0"/>
    <w:rsid w:val="00CC6AE9"/>
    <w:rsid w:val="00CF06C4"/>
    <w:rsid w:val="00D10323"/>
    <w:rsid w:val="00D2644C"/>
    <w:rsid w:val="00D26934"/>
    <w:rsid w:val="00D41817"/>
    <w:rsid w:val="00D5112D"/>
    <w:rsid w:val="00D5784E"/>
    <w:rsid w:val="00D63BA8"/>
    <w:rsid w:val="00D9032A"/>
    <w:rsid w:val="00D90D37"/>
    <w:rsid w:val="00DB466F"/>
    <w:rsid w:val="00DB6C3E"/>
    <w:rsid w:val="00DD2D4E"/>
    <w:rsid w:val="00DD3662"/>
    <w:rsid w:val="00DE1176"/>
    <w:rsid w:val="00DF35DC"/>
    <w:rsid w:val="00DF4BDA"/>
    <w:rsid w:val="00E42E1C"/>
    <w:rsid w:val="00E44381"/>
    <w:rsid w:val="00E45BCB"/>
    <w:rsid w:val="00E45ED3"/>
    <w:rsid w:val="00E5229B"/>
    <w:rsid w:val="00E571C8"/>
    <w:rsid w:val="00E73472"/>
    <w:rsid w:val="00E777CC"/>
    <w:rsid w:val="00E863D9"/>
    <w:rsid w:val="00EB2B19"/>
    <w:rsid w:val="00EC364D"/>
    <w:rsid w:val="00EC4F8E"/>
    <w:rsid w:val="00ED0AF6"/>
    <w:rsid w:val="00ED35E1"/>
    <w:rsid w:val="00ED5A4A"/>
    <w:rsid w:val="00EE0895"/>
    <w:rsid w:val="00F00684"/>
    <w:rsid w:val="00F21DF9"/>
    <w:rsid w:val="00F3295D"/>
    <w:rsid w:val="00F425CE"/>
    <w:rsid w:val="00F44255"/>
    <w:rsid w:val="00F44C93"/>
    <w:rsid w:val="00F54A71"/>
    <w:rsid w:val="00F55DA1"/>
    <w:rsid w:val="00F6153E"/>
    <w:rsid w:val="00F62CFA"/>
    <w:rsid w:val="00F70354"/>
    <w:rsid w:val="00F72E73"/>
    <w:rsid w:val="00F731D7"/>
    <w:rsid w:val="00F818B8"/>
    <w:rsid w:val="00F852B3"/>
    <w:rsid w:val="00FA69DC"/>
    <w:rsid w:val="00FB2FCF"/>
    <w:rsid w:val="00FC64B6"/>
    <w:rsid w:val="00FD3914"/>
    <w:rsid w:val="00FD3AB8"/>
    <w:rsid w:val="00FD708D"/>
    <w:rsid w:val="00FE0C13"/>
    <w:rsid w:val="00FE1377"/>
    <w:rsid w:val="00FE17C8"/>
    <w:rsid w:val="00FE3712"/>
    <w:rsid w:val="00FE4159"/>
    <w:rsid w:val="00FE422F"/>
    <w:rsid w:val="0157B00F"/>
    <w:rsid w:val="0160135C"/>
    <w:rsid w:val="02083F1D"/>
    <w:rsid w:val="02D3595D"/>
    <w:rsid w:val="02D8502D"/>
    <w:rsid w:val="03B7FE4F"/>
    <w:rsid w:val="0596F8E8"/>
    <w:rsid w:val="0602E0CE"/>
    <w:rsid w:val="0640E6E2"/>
    <w:rsid w:val="0647A5E5"/>
    <w:rsid w:val="07D43C06"/>
    <w:rsid w:val="08291B35"/>
    <w:rsid w:val="096DEC18"/>
    <w:rsid w:val="099F0935"/>
    <w:rsid w:val="0B87FFBD"/>
    <w:rsid w:val="0BFA191C"/>
    <w:rsid w:val="0C010F20"/>
    <w:rsid w:val="0C3AF509"/>
    <w:rsid w:val="0D230D50"/>
    <w:rsid w:val="0E877394"/>
    <w:rsid w:val="0FD284A5"/>
    <w:rsid w:val="11000C43"/>
    <w:rsid w:val="1159CE91"/>
    <w:rsid w:val="1348FC54"/>
    <w:rsid w:val="1358E224"/>
    <w:rsid w:val="136437BB"/>
    <w:rsid w:val="13CD859E"/>
    <w:rsid w:val="14A88F33"/>
    <w:rsid w:val="1507315F"/>
    <w:rsid w:val="150BDB1A"/>
    <w:rsid w:val="150D25D5"/>
    <w:rsid w:val="1649DDBB"/>
    <w:rsid w:val="17EA5ED3"/>
    <w:rsid w:val="18D05C1C"/>
    <w:rsid w:val="193AC7FA"/>
    <w:rsid w:val="196BE1CC"/>
    <w:rsid w:val="196EE937"/>
    <w:rsid w:val="19A802E0"/>
    <w:rsid w:val="19D376E8"/>
    <w:rsid w:val="19D49684"/>
    <w:rsid w:val="1B9B9B3A"/>
    <w:rsid w:val="1CE1F6FF"/>
    <w:rsid w:val="1E80AF7F"/>
    <w:rsid w:val="1F425BD9"/>
    <w:rsid w:val="1F55796E"/>
    <w:rsid w:val="1F8E98F0"/>
    <w:rsid w:val="20601B22"/>
    <w:rsid w:val="20893EF2"/>
    <w:rsid w:val="211C89C5"/>
    <w:rsid w:val="21B6DCA9"/>
    <w:rsid w:val="21DA4CB4"/>
    <w:rsid w:val="224568AC"/>
    <w:rsid w:val="22D97DCA"/>
    <w:rsid w:val="2324988F"/>
    <w:rsid w:val="232C70D8"/>
    <w:rsid w:val="23741339"/>
    <w:rsid w:val="2453378C"/>
    <w:rsid w:val="248FCDA4"/>
    <w:rsid w:val="2527271B"/>
    <w:rsid w:val="255BCD5F"/>
    <w:rsid w:val="26BBFDF9"/>
    <w:rsid w:val="274F3522"/>
    <w:rsid w:val="274F4591"/>
    <w:rsid w:val="27991AEA"/>
    <w:rsid w:val="283480F2"/>
    <w:rsid w:val="289A9875"/>
    <w:rsid w:val="28C28958"/>
    <w:rsid w:val="2A118524"/>
    <w:rsid w:val="2A1EC635"/>
    <w:rsid w:val="2A919C74"/>
    <w:rsid w:val="2C2B7DD1"/>
    <w:rsid w:val="2C335299"/>
    <w:rsid w:val="3077E00E"/>
    <w:rsid w:val="30AD444B"/>
    <w:rsid w:val="3120ECA5"/>
    <w:rsid w:val="315FDA24"/>
    <w:rsid w:val="32FC0CA7"/>
    <w:rsid w:val="33B2BE7E"/>
    <w:rsid w:val="3491C71A"/>
    <w:rsid w:val="349447B3"/>
    <w:rsid w:val="34E7D414"/>
    <w:rsid w:val="35790FCB"/>
    <w:rsid w:val="35834510"/>
    <w:rsid w:val="3652EF91"/>
    <w:rsid w:val="38123B7F"/>
    <w:rsid w:val="3834EBD5"/>
    <w:rsid w:val="388DD202"/>
    <w:rsid w:val="391E98C5"/>
    <w:rsid w:val="399DAA0D"/>
    <w:rsid w:val="3B532261"/>
    <w:rsid w:val="3BD6F124"/>
    <w:rsid w:val="3BFED6A0"/>
    <w:rsid w:val="3C23701D"/>
    <w:rsid w:val="3D1E0937"/>
    <w:rsid w:val="3D9E151B"/>
    <w:rsid w:val="3DA188DA"/>
    <w:rsid w:val="3E256E03"/>
    <w:rsid w:val="3E6D3552"/>
    <w:rsid w:val="3E9FE16D"/>
    <w:rsid w:val="3F3B3CC0"/>
    <w:rsid w:val="3F4A299F"/>
    <w:rsid w:val="3F9364B6"/>
    <w:rsid w:val="40B4CC72"/>
    <w:rsid w:val="40C39761"/>
    <w:rsid w:val="40E71994"/>
    <w:rsid w:val="415448DE"/>
    <w:rsid w:val="421276B0"/>
    <w:rsid w:val="43FA6A49"/>
    <w:rsid w:val="44BC2074"/>
    <w:rsid w:val="44D5B23B"/>
    <w:rsid w:val="454E4ED0"/>
    <w:rsid w:val="45A302F5"/>
    <w:rsid w:val="45BDC93B"/>
    <w:rsid w:val="4699146C"/>
    <w:rsid w:val="469A3817"/>
    <w:rsid w:val="4774D51D"/>
    <w:rsid w:val="4790A262"/>
    <w:rsid w:val="47AC37CC"/>
    <w:rsid w:val="47C5BFE1"/>
    <w:rsid w:val="48EB354C"/>
    <w:rsid w:val="49219CE1"/>
    <w:rsid w:val="49809FBC"/>
    <w:rsid w:val="4B683610"/>
    <w:rsid w:val="4BB54834"/>
    <w:rsid w:val="4BFA56BB"/>
    <w:rsid w:val="4D237966"/>
    <w:rsid w:val="4D87C3BA"/>
    <w:rsid w:val="4E89CCEF"/>
    <w:rsid w:val="4F59634A"/>
    <w:rsid w:val="4FD79E35"/>
    <w:rsid w:val="50168CE0"/>
    <w:rsid w:val="502247C2"/>
    <w:rsid w:val="50BF7D42"/>
    <w:rsid w:val="518E133A"/>
    <w:rsid w:val="5407C4EE"/>
    <w:rsid w:val="544E39C4"/>
    <w:rsid w:val="544F2E3D"/>
    <w:rsid w:val="54AEB1F1"/>
    <w:rsid w:val="54C2DBF6"/>
    <w:rsid w:val="5519D554"/>
    <w:rsid w:val="5610A3E2"/>
    <w:rsid w:val="565B1EDA"/>
    <w:rsid w:val="5994E1D0"/>
    <w:rsid w:val="5A59C440"/>
    <w:rsid w:val="5A6F6D8C"/>
    <w:rsid w:val="5C5D8D8F"/>
    <w:rsid w:val="5CCF926D"/>
    <w:rsid w:val="5D0B82BE"/>
    <w:rsid w:val="5D167E6E"/>
    <w:rsid w:val="5D8E090A"/>
    <w:rsid w:val="5DBF790B"/>
    <w:rsid w:val="5E047BC3"/>
    <w:rsid w:val="5F514E6A"/>
    <w:rsid w:val="5F7BA844"/>
    <w:rsid w:val="5FBA7213"/>
    <w:rsid w:val="5FCC4500"/>
    <w:rsid w:val="60A5AEF9"/>
    <w:rsid w:val="61DE54B8"/>
    <w:rsid w:val="626ACAE7"/>
    <w:rsid w:val="633116DD"/>
    <w:rsid w:val="6338B99B"/>
    <w:rsid w:val="6396AB61"/>
    <w:rsid w:val="6398E5BD"/>
    <w:rsid w:val="64599ABC"/>
    <w:rsid w:val="646D250F"/>
    <w:rsid w:val="64FAD574"/>
    <w:rsid w:val="65943472"/>
    <w:rsid w:val="65EAA620"/>
    <w:rsid w:val="66C631FE"/>
    <w:rsid w:val="67228692"/>
    <w:rsid w:val="6728B2DA"/>
    <w:rsid w:val="67726340"/>
    <w:rsid w:val="682A85A2"/>
    <w:rsid w:val="69E9FFA4"/>
    <w:rsid w:val="69F300E3"/>
    <w:rsid w:val="6AA9C4AD"/>
    <w:rsid w:val="6C266E7B"/>
    <w:rsid w:val="6CA770CB"/>
    <w:rsid w:val="6CC7A3F0"/>
    <w:rsid w:val="6DF93190"/>
    <w:rsid w:val="6FA2F125"/>
    <w:rsid w:val="6FD5BF90"/>
    <w:rsid w:val="6FED67A7"/>
    <w:rsid w:val="702F3B91"/>
    <w:rsid w:val="71C2875E"/>
    <w:rsid w:val="7267E720"/>
    <w:rsid w:val="7346A99C"/>
    <w:rsid w:val="73C5EBD2"/>
    <w:rsid w:val="74DAB409"/>
    <w:rsid w:val="7511C236"/>
    <w:rsid w:val="753E06A4"/>
    <w:rsid w:val="76969338"/>
    <w:rsid w:val="7750D855"/>
    <w:rsid w:val="77588D11"/>
    <w:rsid w:val="79390D65"/>
    <w:rsid w:val="79809406"/>
    <w:rsid w:val="7A1FD12E"/>
    <w:rsid w:val="7B19E56C"/>
    <w:rsid w:val="7B6D3268"/>
    <w:rsid w:val="7C23DD13"/>
    <w:rsid w:val="7CF309C0"/>
    <w:rsid w:val="7DDA9D70"/>
    <w:rsid w:val="7E07BC1C"/>
    <w:rsid w:val="7F7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B0E5"/>
  <w15:chartTrackingRefBased/>
  <w15:docId w15:val="{9C440805-0E29-4FD2-86F8-07281D46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7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8C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F4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3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34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4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46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A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3C2"/>
  </w:style>
  <w:style w:type="paragraph" w:styleId="Footer">
    <w:name w:val="footer"/>
    <w:basedOn w:val="Normal"/>
    <w:link w:val="FooterChar"/>
    <w:uiPriority w:val="99"/>
    <w:semiHidden/>
    <w:unhideWhenUsed/>
    <w:rsid w:val="006A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C2"/>
  </w:style>
  <w:style w:type="character" w:styleId="Mention">
    <w:name w:val="Mention"/>
    <w:basedOn w:val="DefaultParagraphFont"/>
    <w:uiPriority w:val="99"/>
    <w:unhideWhenUsed/>
    <w:rsid w:val="00A65ED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qs.aber.ac.uk/950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D396E4A6A334BB7AD6EBF0615FA4C" ma:contentTypeVersion="18" ma:contentTypeDescription="Create a new document." ma:contentTypeScope="" ma:versionID="35d8c6de1e73ac0c732391380367504e">
  <xsd:schema xmlns:xsd="http://www.w3.org/2001/XMLSchema" xmlns:xs="http://www.w3.org/2001/XMLSchema" xmlns:p="http://schemas.microsoft.com/office/2006/metadata/properties" xmlns:ns2="ea40c683-f79e-43a3-a3ac-7a7d749b431b" xmlns:ns3="7db5f9a3-4773-4059-bd15-1ae9029a5015" targetNamespace="http://schemas.microsoft.com/office/2006/metadata/properties" ma:root="true" ma:fieldsID="bee1521e4425c8ecb5762f438dc1e703" ns2:_="" ns3:_="">
    <xsd:import namespace="ea40c683-f79e-43a3-a3ac-7a7d749b431b"/>
    <xsd:import namespace="7db5f9a3-4773-4059-bd15-1ae9029a5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0c683-f79e-43a3-a3ac-7a7d749b4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5f9a3-4773-4059-bd15-1ae9029a5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fd99e7-4815-4ac2-8d40-75aa84ed11e3}" ma:internalName="TaxCatchAll" ma:showField="CatchAllData" ma:web="7db5f9a3-4773-4059-bd15-1ae9029a5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0c683-f79e-43a3-a3ac-7a7d749b431b">
      <Terms xmlns="http://schemas.microsoft.com/office/infopath/2007/PartnerControls"/>
    </lcf76f155ced4ddcb4097134ff3c332f>
    <TaxCatchAll xmlns="7db5f9a3-4773-4059-bd15-1ae9029a50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18AFF-EC35-3E48-ACB3-2C5E18891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1523C-9D8F-4B91-A040-537692D9D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0c683-f79e-43a3-a3ac-7a7d749b431b"/>
    <ds:schemaRef ds:uri="7db5f9a3-4773-4059-bd15-1ae9029a5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1EBBE-CCDA-4321-BCBC-FE76FA264DD1}">
  <ds:schemaRefs>
    <ds:schemaRef ds:uri="http://schemas.microsoft.com/office/2006/metadata/properties"/>
    <ds:schemaRef ds:uri="http://schemas.microsoft.com/office/infopath/2007/PartnerControls"/>
    <ds:schemaRef ds:uri="ea40c683-f79e-43a3-a3ac-7a7d749b431b"/>
    <ds:schemaRef ds:uri="7db5f9a3-4773-4059-bd15-1ae9029a5015"/>
  </ds:schemaRefs>
</ds:datastoreItem>
</file>

<file path=customXml/itemProps4.xml><?xml version="1.0" encoding="utf-8"?>
<ds:datastoreItem xmlns:ds="http://schemas.openxmlformats.org/officeDocument/2006/customXml" ds:itemID="{A52E9056-18D0-4D0A-BBFA-9AB779032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Monaghan [dkm5] (Staff)</dc:creator>
  <cp:keywords/>
  <dc:description/>
  <cp:lastModifiedBy>Jan Litton [jpl] (Staff)</cp:lastModifiedBy>
  <cp:revision>328</cp:revision>
  <dcterms:created xsi:type="dcterms:W3CDTF">2024-09-04T22:22:00Z</dcterms:created>
  <dcterms:modified xsi:type="dcterms:W3CDTF">2025-07-25T08:05:00Z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0x01010016DD396E4A6A334BB7AD6EBF0615FA4C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2024-09-05T07:42:24Z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c01d9de0-1fb2-4072-8bef-134e19cbd93d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