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9FE" w:rsidRPr="00803C9C" w:rsidRDefault="00820C22" w:rsidP="00D41B39">
      <w:pPr>
        <w:pStyle w:val="MediumGrid21"/>
        <w:jc w:val="both"/>
        <w:rPr>
          <w:rFonts w:ascii="Verdana" w:hAnsi="Verdana"/>
          <w:b/>
          <w:noProof/>
          <w:sz w:val="20"/>
          <w:szCs w:val="20"/>
          <w:lang w:eastAsia="en-GB"/>
        </w:rPr>
      </w:pPr>
      <w:r>
        <w:rPr>
          <w:rFonts w:ascii="Verdana" w:hAnsi="Verdana"/>
          <w:b/>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-238125</wp:posOffset>
                </wp:positionV>
                <wp:extent cx="6646545" cy="13773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46545" cy="137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21B" w:rsidRPr="00D55C3A" w:rsidRDefault="00CE521B">
                            <w:pPr>
                              <w:rPr>
                                <w:rFonts w:ascii="Verdana" w:hAnsi="Verdana"/>
                                <w:b/>
                                <w:noProof/>
                                <w:sz w:val="20"/>
                                <w:szCs w:val="20"/>
                                <w:lang w:eastAsia="en-GB"/>
                              </w:rPr>
                            </w:pPr>
                            <w:r>
                              <w:rPr>
                                <w:noProof/>
                              </w:rPr>
                              <w:drawing>
                                <wp:inline distT="0" distB="0" distL="0" distR="0" wp14:anchorId="13819541" wp14:editId="6D479682">
                                  <wp:extent cx="3937000" cy="1193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clrChange>
                                              <a:clrFrom>
                                                <a:srgbClr val="FEFDF9"/>
                                              </a:clrFrom>
                                              <a:clrTo>
                                                <a:srgbClr val="FEFDF9">
                                                  <a:alpha val="0"/>
                                                </a:srgbClr>
                                              </a:clrTo>
                                            </a:clrChange>
                                            <a:grayscl/>
                                            <a:extLst>
                                              <a:ext uri="{28A0092B-C50C-407E-A947-70E740481C1C}">
                                                <a14:useLocalDpi xmlns:a14="http://schemas.microsoft.com/office/drawing/2010/main" val="0"/>
                                              </a:ext>
                                            </a:extLst>
                                          </a:blip>
                                          <a:stretch>
                                            <a:fillRect/>
                                          </a:stretch>
                                        </pic:blipFill>
                                        <pic:spPr>
                                          <a:xfrm>
                                            <a:off x="0" y="0"/>
                                            <a:ext cx="3948576" cy="1197310"/>
                                          </a:xfrm>
                                          <a:prstGeom prst="rect">
                                            <a:avLst/>
                                          </a:prstGeom>
                                        </pic:spPr>
                                      </pic:pic>
                                    </a:graphicData>
                                  </a:graphic>
                                </wp:inline>
                              </w:drawing>
                            </w:r>
                          </w:p>
                          <w:p w:rsidR="00CE521B" w:rsidRDefault="00CE521B">
                            <w:pPr>
                              <w:rPr>
                                <w:rFonts w:ascii="Verdana" w:hAnsi="Verdana"/>
                                <w:b/>
                                <w:noProof/>
                                <w:sz w:val="20"/>
                                <w:szCs w:val="20"/>
                                <w:lang w:eastAsia="en-GB"/>
                              </w:rPr>
                            </w:pPr>
                          </w:p>
                          <w:p w:rsidR="00CE521B" w:rsidRDefault="00CE521B">
                            <w:pPr>
                              <w:rPr>
                                <w:rFonts w:ascii="Verdana" w:hAnsi="Verdana"/>
                                <w:b/>
                                <w:noProof/>
                                <w:sz w:val="20"/>
                                <w:szCs w:val="20"/>
                                <w:lang w:eastAsia="en-GB"/>
                              </w:rPr>
                            </w:pPr>
                          </w:p>
                          <w:p w:rsidR="00CE521B" w:rsidRDefault="00CE521B">
                            <w:pPr>
                              <w:rPr>
                                <w:rFonts w:ascii="Verdana" w:hAnsi="Verdana"/>
                                <w:b/>
                                <w:noProof/>
                                <w:sz w:val="20"/>
                                <w:szCs w:val="20"/>
                                <w:lang w:eastAsia="en-GB"/>
                              </w:rPr>
                            </w:pPr>
                          </w:p>
                          <w:p w:rsidR="00CE521B" w:rsidRPr="00D55C3A" w:rsidRDefault="00CE521B">
                            <w:pPr>
                              <w:rPr>
                                <w:rFonts w:ascii="Verdana" w:hAnsi="Verdana"/>
                                <w:b/>
                                <w:noProof/>
                                <w:sz w:val="20"/>
                                <w:szCs w:val="20"/>
                                <w:lang w:eastAsia="en-GB"/>
                              </w:rPr>
                            </w:pPr>
                          </w:p>
                          <w:p w:rsidR="00CE521B" w:rsidRDefault="00CE521B"/>
                          <w:p w:rsidR="00CE521B" w:rsidRDefault="00CE5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5pt;margin-top:-18.75pt;width:523.3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" stroked="f">
                <v:path arrowok="t"/>
                <v:textbox>
                  <w:txbxContent>
                    <w:p w:rsidR="00CE521B" w:rsidRPr="00D55C3A" w:rsidRDefault="00CE521B">
                      <w:pPr>
                        <w:rPr>
                          <w:rFonts w:ascii="Verdana" w:hAnsi="Verdana"/>
                          <w:b/>
                          <w:noProof/>
                          <w:sz w:val="20"/>
                          <w:szCs w:val="20"/>
                          <w:lang w:eastAsia="en-GB"/>
                        </w:rPr>
                      </w:pPr>
                      <w:r>
                        <w:rPr>
                          <w:noProof/>
                        </w:rPr>
                        <w:drawing>
                          <wp:inline distT="0" distB="0" distL="0" distR="0" wp14:anchorId="13819541" wp14:editId="6D479682">
                            <wp:extent cx="3937000" cy="1193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clrChange>
                                        <a:clrFrom>
                                          <a:srgbClr val="FEFDF9"/>
                                        </a:clrFrom>
                                        <a:clrTo>
                                          <a:srgbClr val="FEFDF9">
                                            <a:alpha val="0"/>
                                          </a:srgbClr>
                                        </a:clrTo>
                                      </a:clrChange>
                                      <a:grayscl/>
                                      <a:extLst>
                                        <a:ext uri="{28A0092B-C50C-407E-A947-70E740481C1C}">
                                          <a14:useLocalDpi xmlns:a14="http://schemas.microsoft.com/office/drawing/2010/main" val="0"/>
                                        </a:ext>
                                      </a:extLst>
                                    </a:blip>
                                    <a:stretch>
                                      <a:fillRect/>
                                    </a:stretch>
                                  </pic:blipFill>
                                  <pic:spPr>
                                    <a:xfrm>
                                      <a:off x="0" y="0"/>
                                      <a:ext cx="3948576" cy="1197310"/>
                                    </a:xfrm>
                                    <a:prstGeom prst="rect">
                                      <a:avLst/>
                                    </a:prstGeom>
                                  </pic:spPr>
                                </pic:pic>
                              </a:graphicData>
                            </a:graphic>
                          </wp:inline>
                        </w:drawing>
                      </w:r>
                    </w:p>
                    <w:p w:rsidR="00CE521B" w:rsidRDefault="00CE521B">
                      <w:pPr>
                        <w:rPr>
                          <w:rFonts w:ascii="Verdana" w:hAnsi="Verdana"/>
                          <w:b/>
                          <w:noProof/>
                          <w:sz w:val="20"/>
                          <w:szCs w:val="20"/>
                          <w:lang w:eastAsia="en-GB"/>
                        </w:rPr>
                      </w:pPr>
                    </w:p>
                    <w:p w:rsidR="00CE521B" w:rsidRDefault="00CE521B">
                      <w:pPr>
                        <w:rPr>
                          <w:rFonts w:ascii="Verdana" w:hAnsi="Verdana"/>
                          <w:b/>
                          <w:noProof/>
                          <w:sz w:val="20"/>
                          <w:szCs w:val="20"/>
                          <w:lang w:eastAsia="en-GB"/>
                        </w:rPr>
                      </w:pPr>
                    </w:p>
                    <w:p w:rsidR="00CE521B" w:rsidRDefault="00CE521B">
                      <w:pPr>
                        <w:rPr>
                          <w:rFonts w:ascii="Verdana" w:hAnsi="Verdana"/>
                          <w:b/>
                          <w:noProof/>
                          <w:sz w:val="20"/>
                          <w:szCs w:val="20"/>
                          <w:lang w:eastAsia="en-GB"/>
                        </w:rPr>
                      </w:pPr>
                    </w:p>
                    <w:p w:rsidR="00CE521B" w:rsidRPr="00D55C3A" w:rsidRDefault="00CE521B">
                      <w:pPr>
                        <w:rPr>
                          <w:rFonts w:ascii="Verdana" w:hAnsi="Verdana"/>
                          <w:b/>
                          <w:noProof/>
                          <w:sz w:val="20"/>
                          <w:szCs w:val="20"/>
                          <w:lang w:eastAsia="en-GB"/>
                        </w:rPr>
                      </w:pPr>
                    </w:p>
                    <w:p w:rsidR="00CE521B" w:rsidRDefault="00CE521B"/>
                    <w:p w:rsidR="00CE521B" w:rsidRDefault="00CE521B"/>
                  </w:txbxContent>
                </v:textbox>
              </v:shape>
            </w:pict>
          </mc:Fallback>
        </mc:AlternateContent>
      </w:r>
    </w:p>
    <w:p w:rsidR="00C349FE" w:rsidRDefault="00C349FE" w:rsidP="00D41B39">
      <w:pPr>
        <w:pStyle w:val="MediumGrid21"/>
        <w:jc w:val="both"/>
        <w:rPr>
          <w:rFonts w:ascii="Verdana" w:hAnsi="Verdana"/>
          <w:b/>
          <w:noProof/>
          <w:sz w:val="20"/>
          <w:szCs w:val="20"/>
          <w:lang w:eastAsia="en-GB"/>
        </w:rPr>
      </w:pPr>
    </w:p>
    <w:p w:rsidR="00EC1602" w:rsidRDefault="00EC1602" w:rsidP="00D41B39">
      <w:pPr>
        <w:pStyle w:val="MediumGrid21"/>
        <w:jc w:val="both"/>
        <w:rPr>
          <w:rFonts w:ascii="Verdana" w:hAnsi="Verdana"/>
          <w:b/>
          <w:noProof/>
          <w:sz w:val="20"/>
          <w:szCs w:val="20"/>
          <w:lang w:eastAsia="en-GB"/>
        </w:rPr>
      </w:pPr>
    </w:p>
    <w:p w:rsidR="00EC1602" w:rsidRDefault="00EC1602" w:rsidP="00D41B39">
      <w:pPr>
        <w:pStyle w:val="MediumGrid21"/>
        <w:jc w:val="both"/>
        <w:rPr>
          <w:rFonts w:ascii="Verdana" w:hAnsi="Verdana"/>
          <w:b/>
          <w:noProof/>
          <w:sz w:val="20"/>
          <w:szCs w:val="20"/>
          <w:lang w:eastAsia="en-GB"/>
        </w:rPr>
      </w:pPr>
    </w:p>
    <w:p w:rsidR="00EC1602" w:rsidRDefault="00EC1602" w:rsidP="00D41B39">
      <w:pPr>
        <w:pStyle w:val="MediumGrid21"/>
        <w:jc w:val="both"/>
        <w:rPr>
          <w:rFonts w:ascii="Verdana" w:hAnsi="Verdana"/>
          <w:b/>
          <w:noProof/>
          <w:sz w:val="20"/>
          <w:szCs w:val="20"/>
          <w:lang w:eastAsia="en-GB"/>
        </w:rPr>
      </w:pPr>
    </w:p>
    <w:p w:rsidR="00EC1602" w:rsidRPr="00803C9C" w:rsidRDefault="00EC1602" w:rsidP="00D41B39">
      <w:pPr>
        <w:pStyle w:val="MediumGrid21"/>
        <w:jc w:val="both"/>
        <w:rPr>
          <w:rFonts w:ascii="Verdana" w:hAnsi="Verdana"/>
          <w:b/>
          <w:noProof/>
          <w:sz w:val="20"/>
          <w:szCs w:val="20"/>
          <w:lang w:eastAsia="en-GB"/>
        </w:rPr>
      </w:pPr>
    </w:p>
    <w:p w:rsidR="002006BA" w:rsidRPr="00803C9C" w:rsidRDefault="002006BA" w:rsidP="00D41B39">
      <w:pPr>
        <w:pStyle w:val="MediumGrid21"/>
        <w:jc w:val="both"/>
        <w:rPr>
          <w:rFonts w:ascii="Verdana" w:hAnsi="Verdana"/>
          <w:b/>
          <w:sz w:val="20"/>
          <w:szCs w:val="20"/>
        </w:rPr>
      </w:pPr>
    </w:p>
    <w:p w:rsidR="000A4229" w:rsidRPr="00193AFB" w:rsidRDefault="000A4229" w:rsidP="000A4229">
      <w:pPr>
        <w:pStyle w:val="MediumGrid21"/>
        <w:jc w:val="center"/>
        <w:rPr>
          <w:rFonts w:ascii="Cambria" w:hAnsi="Cambria"/>
          <w:sz w:val="40"/>
          <w:szCs w:val="40"/>
          <w:lang w:eastAsia="en-GB"/>
        </w:rPr>
      </w:pPr>
    </w:p>
    <w:p w:rsidR="000A4229" w:rsidRDefault="000A4229" w:rsidP="000A4229">
      <w:pPr>
        <w:pStyle w:val="MediumGrid21"/>
        <w:ind w:right="141" w:hanging="142"/>
        <w:jc w:val="center"/>
        <w:rPr>
          <w:rFonts w:ascii="Cambria" w:hAnsi="Cambria"/>
          <w:sz w:val="72"/>
          <w:szCs w:val="72"/>
          <w:lang w:eastAsia="en-GB"/>
        </w:rPr>
      </w:pPr>
    </w:p>
    <w:p w:rsidR="000A4229" w:rsidRPr="00193AFB" w:rsidRDefault="000A4229" w:rsidP="000A4229">
      <w:pPr>
        <w:pStyle w:val="MediumGrid21"/>
        <w:ind w:right="141" w:hanging="142"/>
        <w:jc w:val="center"/>
        <w:rPr>
          <w:rFonts w:ascii="Cambria" w:hAnsi="Cambria"/>
          <w:sz w:val="72"/>
          <w:szCs w:val="72"/>
          <w:lang w:eastAsia="en-GB"/>
        </w:rPr>
      </w:pPr>
      <w:r w:rsidRPr="00193AFB">
        <w:rPr>
          <w:rFonts w:ascii="Cambria" w:hAnsi="Cambria"/>
          <w:sz w:val="72"/>
          <w:szCs w:val="72"/>
          <w:lang w:eastAsia="en-GB"/>
        </w:rPr>
        <w:t>Aberystwyth University</w:t>
      </w:r>
    </w:p>
    <w:p w:rsidR="000A4229" w:rsidRPr="003035F9" w:rsidRDefault="000A4229" w:rsidP="000A4229">
      <w:pPr>
        <w:spacing w:before="240" w:after="0" w:line="240" w:lineRule="auto"/>
        <w:jc w:val="center"/>
        <w:rPr>
          <w:rFonts w:ascii="Cambria" w:hAnsi="Cambria" w:cs="Arial"/>
          <w:b/>
          <w:sz w:val="44"/>
          <w:szCs w:val="44"/>
        </w:rPr>
      </w:pPr>
      <w:r w:rsidRPr="003035F9">
        <w:rPr>
          <w:rFonts w:ascii="Cambria" w:hAnsi="Cambria" w:cs="Arial"/>
          <w:b/>
          <w:sz w:val="44"/>
          <w:szCs w:val="44"/>
        </w:rPr>
        <w:t>Risk Management Policy and Procedures</w:t>
      </w:r>
    </w:p>
    <w:p w:rsidR="000A4229" w:rsidRPr="00193AFB" w:rsidRDefault="000A4229" w:rsidP="000A4229">
      <w:pPr>
        <w:pStyle w:val="MediumGrid21"/>
        <w:jc w:val="center"/>
        <w:rPr>
          <w:rFonts w:ascii="Cambria" w:hAnsi="Cambria"/>
          <w:sz w:val="40"/>
          <w:szCs w:val="40"/>
          <w:lang w:eastAsia="en-GB"/>
        </w:rPr>
      </w:pPr>
    </w:p>
    <w:p w:rsidR="000A4229" w:rsidRPr="00193AFB" w:rsidRDefault="000A4229" w:rsidP="000A4229">
      <w:pPr>
        <w:pStyle w:val="MediumGrid21"/>
        <w:jc w:val="center"/>
        <w:rPr>
          <w:rFonts w:ascii="Cambria" w:hAnsi="Cambria"/>
          <w:sz w:val="40"/>
          <w:szCs w:val="40"/>
          <w:lang w:eastAsia="en-GB"/>
        </w:rPr>
      </w:pPr>
    </w:p>
    <w:p w:rsidR="000A4229" w:rsidRPr="00193AFB" w:rsidRDefault="000A4229" w:rsidP="000A4229">
      <w:pPr>
        <w:pStyle w:val="MediumGrid21"/>
        <w:jc w:val="center"/>
        <w:rPr>
          <w:rFonts w:ascii="Cambria" w:hAnsi="Cambria"/>
          <w:sz w:val="40"/>
          <w:szCs w:val="40"/>
          <w:lang w:eastAsia="en-GB"/>
        </w:rPr>
      </w:pPr>
    </w:p>
    <w:tbl>
      <w:tblPr>
        <w:tblW w:w="0" w:type="auto"/>
        <w:tblInd w:w="11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6"/>
        <w:gridCol w:w="5245"/>
        <w:gridCol w:w="567"/>
      </w:tblGrid>
      <w:tr w:rsidR="000A4229" w:rsidRPr="00193AFB" w:rsidTr="000A4229">
        <w:tc>
          <w:tcPr>
            <w:tcW w:w="2126" w:type="dxa"/>
            <w:shd w:val="clear" w:color="auto" w:fill="auto"/>
            <w:vAlign w:val="bottom"/>
          </w:tcPr>
          <w:p w:rsidR="000A4229" w:rsidRPr="00193AFB" w:rsidRDefault="000A4229" w:rsidP="003035F9">
            <w:pPr>
              <w:pStyle w:val="MediumGrid21"/>
              <w:jc w:val="right"/>
              <w:rPr>
                <w:rFonts w:ascii="Cambria" w:hAnsi="Cambria"/>
                <w:sz w:val="24"/>
                <w:szCs w:val="24"/>
                <w:lang w:eastAsia="en-GB"/>
              </w:rPr>
            </w:pPr>
          </w:p>
          <w:p w:rsidR="000A4229" w:rsidRPr="00193AFB" w:rsidRDefault="000A4229" w:rsidP="003035F9">
            <w:pPr>
              <w:pStyle w:val="MediumGrid21"/>
              <w:jc w:val="right"/>
              <w:rPr>
                <w:rFonts w:ascii="Cambria" w:hAnsi="Cambria"/>
                <w:sz w:val="24"/>
                <w:szCs w:val="24"/>
                <w:lang w:eastAsia="en-GB"/>
              </w:rPr>
            </w:pPr>
          </w:p>
          <w:p w:rsidR="000A4229" w:rsidRPr="00193AFB" w:rsidRDefault="000A4229" w:rsidP="003035F9">
            <w:pPr>
              <w:pStyle w:val="MediumGrid21"/>
              <w:jc w:val="right"/>
              <w:rPr>
                <w:rFonts w:ascii="Cambria" w:hAnsi="Cambria"/>
                <w:sz w:val="24"/>
                <w:szCs w:val="24"/>
                <w:lang w:eastAsia="en-GB"/>
              </w:rPr>
            </w:pPr>
            <w:r w:rsidRPr="00193AFB">
              <w:rPr>
                <w:rFonts w:ascii="Cambria" w:hAnsi="Cambria"/>
                <w:sz w:val="24"/>
                <w:szCs w:val="24"/>
                <w:lang w:eastAsia="en-GB"/>
              </w:rPr>
              <w:t xml:space="preserve">Prepared by:  </w:t>
            </w:r>
          </w:p>
        </w:tc>
        <w:tc>
          <w:tcPr>
            <w:tcW w:w="5245" w:type="dxa"/>
            <w:tcBorders>
              <w:top w:val="single" w:sz="4" w:space="0" w:color="auto"/>
              <w:bottom w:val="dotted" w:sz="4" w:space="0" w:color="auto"/>
            </w:tcBorders>
            <w:shd w:val="clear" w:color="auto" w:fill="auto"/>
            <w:vAlign w:val="bottom"/>
          </w:tcPr>
          <w:p w:rsidR="000A4229" w:rsidRPr="00193AFB" w:rsidRDefault="006D0D5B" w:rsidP="003035F9">
            <w:pPr>
              <w:pStyle w:val="MediumGrid21"/>
              <w:rPr>
                <w:rFonts w:ascii="Cambria" w:hAnsi="Cambria"/>
                <w:sz w:val="24"/>
                <w:szCs w:val="24"/>
                <w:lang w:eastAsia="en-GB"/>
              </w:rPr>
            </w:pPr>
            <w:r>
              <w:rPr>
                <w:rFonts w:ascii="Cambria" w:hAnsi="Cambria"/>
                <w:sz w:val="24"/>
                <w:szCs w:val="24"/>
                <w:lang w:eastAsia="en-GB"/>
              </w:rPr>
              <w:t>Sarah Taylor/ Stephen Forster</w:t>
            </w:r>
          </w:p>
        </w:tc>
        <w:tc>
          <w:tcPr>
            <w:tcW w:w="567" w:type="dxa"/>
            <w:shd w:val="clear" w:color="auto" w:fill="auto"/>
          </w:tcPr>
          <w:p w:rsidR="000A4229" w:rsidRPr="00193AFB" w:rsidRDefault="000A4229" w:rsidP="003035F9">
            <w:pPr>
              <w:pStyle w:val="MediumGrid21"/>
              <w:jc w:val="center"/>
              <w:rPr>
                <w:rFonts w:ascii="Cambria" w:hAnsi="Cambria"/>
                <w:sz w:val="40"/>
                <w:szCs w:val="40"/>
                <w:lang w:eastAsia="en-GB"/>
              </w:rPr>
            </w:pPr>
          </w:p>
        </w:tc>
      </w:tr>
      <w:tr w:rsidR="000A4229" w:rsidRPr="00193AFB" w:rsidTr="000A4229">
        <w:tc>
          <w:tcPr>
            <w:tcW w:w="2126" w:type="dxa"/>
            <w:shd w:val="clear" w:color="auto" w:fill="auto"/>
            <w:vAlign w:val="bottom"/>
          </w:tcPr>
          <w:p w:rsidR="000A4229" w:rsidRPr="00193AFB" w:rsidRDefault="000A4229" w:rsidP="003035F9">
            <w:pPr>
              <w:pStyle w:val="MediumGrid21"/>
              <w:jc w:val="right"/>
              <w:rPr>
                <w:rFonts w:ascii="Cambria" w:hAnsi="Cambria"/>
                <w:sz w:val="24"/>
                <w:szCs w:val="24"/>
                <w:lang w:eastAsia="en-GB"/>
              </w:rPr>
            </w:pPr>
          </w:p>
        </w:tc>
        <w:tc>
          <w:tcPr>
            <w:tcW w:w="5245" w:type="dxa"/>
            <w:tcBorders>
              <w:top w:val="dotted" w:sz="4" w:space="0" w:color="auto"/>
              <w:bottom w:val="nil"/>
            </w:tcBorders>
            <w:shd w:val="clear" w:color="auto" w:fill="auto"/>
          </w:tcPr>
          <w:p w:rsidR="000A4229" w:rsidRPr="00193AFB" w:rsidRDefault="000A4229" w:rsidP="003035F9">
            <w:pPr>
              <w:pStyle w:val="MediumGrid21"/>
              <w:jc w:val="center"/>
              <w:rPr>
                <w:rFonts w:ascii="Cambria" w:hAnsi="Cambria"/>
                <w:sz w:val="40"/>
                <w:szCs w:val="40"/>
                <w:lang w:eastAsia="en-GB"/>
              </w:rPr>
            </w:pPr>
          </w:p>
        </w:tc>
        <w:tc>
          <w:tcPr>
            <w:tcW w:w="567" w:type="dxa"/>
            <w:shd w:val="clear" w:color="auto" w:fill="auto"/>
          </w:tcPr>
          <w:p w:rsidR="000A4229" w:rsidRPr="00193AFB" w:rsidRDefault="000A4229" w:rsidP="003035F9">
            <w:pPr>
              <w:pStyle w:val="MediumGrid21"/>
              <w:jc w:val="center"/>
              <w:rPr>
                <w:rFonts w:ascii="Cambria" w:hAnsi="Cambria"/>
                <w:sz w:val="40"/>
                <w:szCs w:val="40"/>
                <w:lang w:eastAsia="en-GB"/>
              </w:rPr>
            </w:pPr>
          </w:p>
        </w:tc>
      </w:tr>
      <w:tr w:rsidR="000A4229" w:rsidRPr="00193AFB" w:rsidTr="003035F9">
        <w:tc>
          <w:tcPr>
            <w:tcW w:w="2126" w:type="dxa"/>
            <w:shd w:val="clear" w:color="auto" w:fill="auto"/>
            <w:vAlign w:val="bottom"/>
          </w:tcPr>
          <w:p w:rsidR="000A4229" w:rsidRPr="00193AFB" w:rsidRDefault="000A4229" w:rsidP="003035F9">
            <w:pPr>
              <w:pStyle w:val="MediumGrid21"/>
              <w:jc w:val="right"/>
              <w:rPr>
                <w:rFonts w:ascii="Cambria" w:hAnsi="Cambria"/>
                <w:sz w:val="24"/>
                <w:szCs w:val="24"/>
                <w:lang w:eastAsia="en-GB"/>
              </w:rPr>
            </w:pPr>
            <w:r w:rsidRPr="00193AFB">
              <w:rPr>
                <w:rFonts w:ascii="Cambria" w:hAnsi="Cambria"/>
                <w:sz w:val="24"/>
                <w:szCs w:val="24"/>
                <w:lang w:eastAsia="en-GB"/>
              </w:rPr>
              <w:t>Authorised by:</w:t>
            </w:r>
          </w:p>
        </w:tc>
        <w:tc>
          <w:tcPr>
            <w:tcW w:w="5245" w:type="dxa"/>
            <w:tcBorders>
              <w:top w:val="nil"/>
              <w:bottom w:val="dotted" w:sz="4" w:space="0" w:color="auto"/>
            </w:tcBorders>
            <w:shd w:val="clear" w:color="auto" w:fill="auto"/>
          </w:tcPr>
          <w:p w:rsidR="000A4229" w:rsidRPr="00193AFB" w:rsidRDefault="006D0D5B" w:rsidP="003035F9">
            <w:pPr>
              <w:pStyle w:val="MediumGrid21"/>
              <w:jc w:val="center"/>
              <w:rPr>
                <w:rFonts w:ascii="Cambria" w:hAnsi="Cambria"/>
                <w:sz w:val="40"/>
                <w:szCs w:val="40"/>
                <w:lang w:eastAsia="en-GB"/>
              </w:rPr>
            </w:pPr>
            <w:r>
              <w:rPr>
                <w:rFonts w:ascii="Cambria" w:hAnsi="Cambria"/>
                <w:sz w:val="40"/>
                <w:szCs w:val="40"/>
                <w:lang w:eastAsia="en-GB"/>
              </w:rPr>
              <w:t>Audit, Risk and Assurance Committee</w:t>
            </w:r>
          </w:p>
        </w:tc>
        <w:tc>
          <w:tcPr>
            <w:tcW w:w="567" w:type="dxa"/>
            <w:shd w:val="clear" w:color="auto" w:fill="auto"/>
          </w:tcPr>
          <w:p w:rsidR="000A4229" w:rsidRPr="00193AFB" w:rsidRDefault="000A4229" w:rsidP="003035F9">
            <w:pPr>
              <w:pStyle w:val="MediumGrid21"/>
              <w:jc w:val="center"/>
              <w:rPr>
                <w:rFonts w:ascii="Cambria" w:hAnsi="Cambria"/>
                <w:sz w:val="40"/>
                <w:szCs w:val="40"/>
                <w:lang w:eastAsia="en-GB"/>
              </w:rPr>
            </w:pPr>
          </w:p>
        </w:tc>
      </w:tr>
      <w:tr w:rsidR="000A4229" w:rsidRPr="00193AFB" w:rsidTr="003035F9">
        <w:tc>
          <w:tcPr>
            <w:tcW w:w="2126" w:type="dxa"/>
            <w:shd w:val="clear" w:color="auto" w:fill="auto"/>
            <w:vAlign w:val="bottom"/>
          </w:tcPr>
          <w:p w:rsidR="000A4229" w:rsidRPr="00193AFB" w:rsidRDefault="000A4229" w:rsidP="003035F9">
            <w:pPr>
              <w:pStyle w:val="MediumGrid21"/>
              <w:jc w:val="right"/>
              <w:rPr>
                <w:rFonts w:ascii="Cambria" w:hAnsi="Cambria"/>
                <w:sz w:val="24"/>
                <w:szCs w:val="24"/>
                <w:lang w:eastAsia="en-GB"/>
              </w:rPr>
            </w:pPr>
          </w:p>
        </w:tc>
        <w:tc>
          <w:tcPr>
            <w:tcW w:w="5245" w:type="dxa"/>
            <w:tcBorders>
              <w:top w:val="dotted" w:sz="4" w:space="0" w:color="auto"/>
              <w:bottom w:val="nil"/>
            </w:tcBorders>
            <w:shd w:val="clear" w:color="auto" w:fill="auto"/>
          </w:tcPr>
          <w:p w:rsidR="000A4229" w:rsidRPr="00193AFB" w:rsidRDefault="000A4229" w:rsidP="003035F9">
            <w:pPr>
              <w:pStyle w:val="MediumGrid21"/>
              <w:jc w:val="center"/>
              <w:rPr>
                <w:rFonts w:ascii="Cambria" w:hAnsi="Cambria"/>
                <w:sz w:val="40"/>
                <w:szCs w:val="40"/>
                <w:lang w:eastAsia="en-GB"/>
              </w:rPr>
            </w:pPr>
          </w:p>
        </w:tc>
        <w:tc>
          <w:tcPr>
            <w:tcW w:w="567" w:type="dxa"/>
            <w:shd w:val="clear" w:color="auto" w:fill="auto"/>
          </w:tcPr>
          <w:p w:rsidR="000A4229" w:rsidRPr="00193AFB" w:rsidRDefault="000A4229" w:rsidP="003035F9">
            <w:pPr>
              <w:pStyle w:val="MediumGrid21"/>
              <w:jc w:val="center"/>
              <w:rPr>
                <w:rFonts w:ascii="Cambria" w:hAnsi="Cambria"/>
                <w:sz w:val="40"/>
                <w:szCs w:val="40"/>
                <w:lang w:eastAsia="en-GB"/>
              </w:rPr>
            </w:pPr>
          </w:p>
        </w:tc>
      </w:tr>
      <w:tr w:rsidR="000A4229" w:rsidRPr="00193AFB" w:rsidTr="003035F9">
        <w:tc>
          <w:tcPr>
            <w:tcW w:w="2126" w:type="dxa"/>
            <w:shd w:val="clear" w:color="auto" w:fill="auto"/>
            <w:vAlign w:val="bottom"/>
          </w:tcPr>
          <w:p w:rsidR="000A4229" w:rsidRPr="00193AFB" w:rsidRDefault="000A4229" w:rsidP="003035F9">
            <w:pPr>
              <w:pStyle w:val="MediumGrid21"/>
              <w:jc w:val="right"/>
              <w:rPr>
                <w:rFonts w:ascii="Cambria" w:hAnsi="Cambria"/>
                <w:sz w:val="24"/>
                <w:szCs w:val="24"/>
                <w:lang w:eastAsia="en-GB"/>
              </w:rPr>
            </w:pPr>
            <w:r w:rsidRPr="00193AFB">
              <w:rPr>
                <w:rFonts w:ascii="Cambria" w:hAnsi="Cambria"/>
                <w:sz w:val="24"/>
                <w:szCs w:val="24"/>
                <w:lang w:eastAsia="en-GB"/>
              </w:rPr>
              <w:t>Date:</w:t>
            </w:r>
          </w:p>
        </w:tc>
        <w:tc>
          <w:tcPr>
            <w:tcW w:w="5245" w:type="dxa"/>
            <w:tcBorders>
              <w:top w:val="nil"/>
              <w:bottom w:val="dotted" w:sz="4" w:space="0" w:color="auto"/>
            </w:tcBorders>
            <w:shd w:val="clear" w:color="auto" w:fill="auto"/>
          </w:tcPr>
          <w:p w:rsidR="000A4229" w:rsidRPr="00193AFB" w:rsidRDefault="00CE521B" w:rsidP="003035F9">
            <w:pPr>
              <w:pStyle w:val="MediumGrid21"/>
              <w:jc w:val="center"/>
              <w:rPr>
                <w:rFonts w:ascii="Cambria" w:hAnsi="Cambria"/>
                <w:sz w:val="40"/>
                <w:szCs w:val="40"/>
                <w:lang w:eastAsia="en-GB"/>
              </w:rPr>
            </w:pPr>
            <w:r>
              <w:rPr>
                <w:rFonts w:ascii="Cambria" w:hAnsi="Cambria"/>
                <w:sz w:val="40"/>
                <w:szCs w:val="40"/>
                <w:lang w:eastAsia="en-GB"/>
              </w:rPr>
              <w:t>October 2020</w:t>
            </w:r>
            <w:r w:rsidR="00254F59">
              <w:rPr>
                <w:rFonts w:ascii="Cambria" w:hAnsi="Cambria"/>
                <w:sz w:val="40"/>
                <w:szCs w:val="40"/>
                <w:lang w:eastAsia="en-GB"/>
              </w:rPr>
              <w:t xml:space="preserve"> </w:t>
            </w:r>
          </w:p>
        </w:tc>
        <w:tc>
          <w:tcPr>
            <w:tcW w:w="567" w:type="dxa"/>
            <w:shd w:val="clear" w:color="auto" w:fill="auto"/>
          </w:tcPr>
          <w:p w:rsidR="000A4229" w:rsidRPr="00193AFB" w:rsidRDefault="000A4229" w:rsidP="003035F9">
            <w:pPr>
              <w:pStyle w:val="MediumGrid21"/>
              <w:jc w:val="center"/>
              <w:rPr>
                <w:rFonts w:ascii="Cambria" w:hAnsi="Cambria"/>
                <w:sz w:val="40"/>
                <w:szCs w:val="40"/>
                <w:lang w:eastAsia="en-GB"/>
              </w:rPr>
            </w:pPr>
          </w:p>
        </w:tc>
      </w:tr>
      <w:tr w:rsidR="000A4229" w:rsidRPr="00193AFB" w:rsidTr="003035F9">
        <w:tc>
          <w:tcPr>
            <w:tcW w:w="2126" w:type="dxa"/>
            <w:shd w:val="clear" w:color="auto" w:fill="auto"/>
            <w:vAlign w:val="bottom"/>
          </w:tcPr>
          <w:p w:rsidR="000A4229" w:rsidRPr="00193AFB" w:rsidRDefault="000A4229" w:rsidP="003035F9">
            <w:pPr>
              <w:pStyle w:val="MediumGrid21"/>
              <w:jc w:val="right"/>
              <w:rPr>
                <w:rFonts w:ascii="Cambria" w:hAnsi="Cambria"/>
                <w:sz w:val="24"/>
                <w:szCs w:val="24"/>
                <w:lang w:eastAsia="en-GB"/>
              </w:rPr>
            </w:pPr>
          </w:p>
        </w:tc>
        <w:tc>
          <w:tcPr>
            <w:tcW w:w="5245" w:type="dxa"/>
            <w:tcBorders>
              <w:top w:val="dotted" w:sz="4" w:space="0" w:color="auto"/>
            </w:tcBorders>
            <w:shd w:val="clear" w:color="auto" w:fill="auto"/>
          </w:tcPr>
          <w:p w:rsidR="000A4229" w:rsidRPr="00193AFB" w:rsidRDefault="000A4229" w:rsidP="003035F9">
            <w:pPr>
              <w:pStyle w:val="MediumGrid21"/>
              <w:jc w:val="center"/>
              <w:rPr>
                <w:rFonts w:ascii="Cambria" w:hAnsi="Cambria"/>
                <w:sz w:val="40"/>
                <w:szCs w:val="40"/>
                <w:lang w:eastAsia="en-GB"/>
              </w:rPr>
            </w:pPr>
          </w:p>
          <w:p w:rsidR="000A4229" w:rsidRPr="00193AFB" w:rsidRDefault="000A4229" w:rsidP="003035F9">
            <w:pPr>
              <w:pStyle w:val="MediumGrid21"/>
              <w:jc w:val="center"/>
              <w:rPr>
                <w:rFonts w:ascii="Cambria" w:hAnsi="Cambria"/>
                <w:sz w:val="40"/>
                <w:szCs w:val="40"/>
                <w:lang w:eastAsia="en-GB"/>
              </w:rPr>
            </w:pPr>
          </w:p>
        </w:tc>
        <w:tc>
          <w:tcPr>
            <w:tcW w:w="567" w:type="dxa"/>
            <w:shd w:val="clear" w:color="auto" w:fill="auto"/>
          </w:tcPr>
          <w:p w:rsidR="000A4229" w:rsidRPr="00193AFB" w:rsidRDefault="000A4229" w:rsidP="003035F9">
            <w:pPr>
              <w:pStyle w:val="MediumGrid21"/>
              <w:jc w:val="center"/>
              <w:rPr>
                <w:rFonts w:ascii="Cambria" w:hAnsi="Cambria"/>
                <w:sz w:val="40"/>
                <w:szCs w:val="40"/>
                <w:lang w:eastAsia="en-GB"/>
              </w:rPr>
            </w:pPr>
          </w:p>
        </w:tc>
      </w:tr>
    </w:tbl>
    <w:p w:rsidR="000A4229" w:rsidRPr="00193AFB" w:rsidRDefault="000A4229" w:rsidP="000A4229">
      <w:pPr>
        <w:pStyle w:val="MediumGrid21"/>
        <w:jc w:val="center"/>
        <w:rPr>
          <w:rFonts w:ascii="Cambria" w:hAnsi="Cambria"/>
          <w:sz w:val="40"/>
          <w:szCs w:val="40"/>
          <w:lang w:eastAsia="en-GB"/>
        </w:rPr>
      </w:pPr>
    </w:p>
    <w:p w:rsidR="000A4229" w:rsidRDefault="000A4229" w:rsidP="00254F59">
      <w:pPr>
        <w:pStyle w:val="MediumGrid21"/>
        <w:rPr>
          <w:rFonts w:ascii="Cambria" w:hAnsi="Cambria"/>
          <w:sz w:val="40"/>
          <w:szCs w:val="40"/>
          <w:lang w:eastAsia="en-GB"/>
        </w:rPr>
      </w:pPr>
    </w:p>
    <w:p w:rsidR="000A4229" w:rsidRPr="00193AFB" w:rsidRDefault="000A4229" w:rsidP="000A4229">
      <w:pPr>
        <w:pStyle w:val="MediumGrid21"/>
        <w:jc w:val="center"/>
        <w:rPr>
          <w:rFonts w:ascii="Cambria" w:hAnsi="Cambria"/>
          <w:sz w:val="40"/>
          <w:szCs w:val="40"/>
          <w:lang w:eastAsia="en-GB"/>
        </w:rPr>
      </w:pPr>
    </w:p>
    <w:p w:rsidR="000A4229" w:rsidRPr="00193AFB" w:rsidRDefault="000A4229" w:rsidP="000A4229">
      <w:pPr>
        <w:pStyle w:val="MediumGrid21"/>
        <w:jc w:val="center"/>
        <w:rPr>
          <w:rFonts w:ascii="Cambria" w:hAnsi="Cambria"/>
          <w:b/>
          <w:sz w:val="20"/>
          <w:szCs w:val="20"/>
          <w:lang w:eastAsia="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2142"/>
        <w:gridCol w:w="1929"/>
        <w:gridCol w:w="2809"/>
        <w:gridCol w:w="1984"/>
      </w:tblGrid>
      <w:tr w:rsidR="000A4229" w:rsidRPr="00193AFB" w:rsidTr="003035F9">
        <w:tc>
          <w:tcPr>
            <w:tcW w:w="1450" w:type="dxa"/>
            <w:shd w:val="clear" w:color="auto" w:fill="auto"/>
            <w:vAlign w:val="center"/>
          </w:tcPr>
          <w:p w:rsidR="000A4229" w:rsidRPr="00193AFB" w:rsidRDefault="000A4229" w:rsidP="003035F9">
            <w:pPr>
              <w:jc w:val="center"/>
              <w:rPr>
                <w:rFonts w:ascii="Verdana" w:hAnsi="Verdana" w:cs="Arial"/>
                <w:b/>
                <w:sz w:val="20"/>
                <w:szCs w:val="20"/>
              </w:rPr>
            </w:pPr>
            <w:r w:rsidRPr="00193AFB">
              <w:rPr>
                <w:rFonts w:ascii="Verdana" w:hAnsi="Verdana" w:cs="Arial"/>
                <w:b/>
                <w:sz w:val="20"/>
                <w:szCs w:val="20"/>
              </w:rPr>
              <w:t>Version</w:t>
            </w:r>
          </w:p>
        </w:tc>
        <w:tc>
          <w:tcPr>
            <w:tcW w:w="2142" w:type="dxa"/>
            <w:shd w:val="clear" w:color="auto" w:fill="auto"/>
            <w:vAlign w:val="center"/>
          </w:tcPr>
          <w:p w:rsidR="000A4229" w:rsidRPr="00193AFB" w:rsidRDefault="000A4229" w:rsidP="003035F9">
            <w:pPr>
              <w:keepNext/>
              <w:ind w:left="34"/>
              <w:jc w:val="center"/>
              <w:outlineLvl w:val="1"/>
              <w:rPr>
                <w:rFonts w:ascii="Verdana" w:hAnsi="Verdana" w:cs="Arial"/>
                <w:b/>
                <w:sz w:val="20"/>
                <w:szCs w:val="20"/>
              </w:rPr>
            </w:pPr>
            <w:r w:rsidRPr="00193AFB">
              <w:rPr>
                <w:rFonts w:ascii="Verdana" w:hAnsi="Verdana" w:cs="Arial"/>
                <w:b/>
                <w:sz w:val="20"/>
                <w:szCs w:val="20"/>
              </w:rPr>
              <w:t>Prepared by</w:t>
            </w:r>
          </w:p>
        </w:tc>
        <w:tc>
          <w:tcPr>
            <w:tcW w:w="1929" w:type="dxa"/>
            <w:shd w:val="clear" w:color="auto" w:fill="auto"/>
            <w:vAlign w:val="center"/>
          </w:tcPr>
          <w:p w:rsidR="000A4229" w:rsidRPr="00193AFB" w:rsidRDefault="000A4229" w:rsidP="003035F9">
            <w:pPr>
              <w:keepNext/>
              <w:ind w:left="34" w:firstLine="18"/>
              <w:jc w:val="center"/>
              <w:outlineLvl w:val="1"/>
              <w:rPr>
                <w:rFonts w:ascii="Verdana" w:hAnsi="Verdana" w:cs="Arial"/>
                <w:b/>
                <w:sz w:val="20"/>
                <w:szCs w:val="20"/>
              </w:rPr>
            </w:pPr>
            <w:r w:rsidRPr="00193AFB">
              <w:rPr>
                <w:rFonts w:ascii="Verdana" w:hAnsi="Verdana" w:cs="Arial"/>
                <w:b/>
                <w:sz w:val="20"/>
                <w:szCs w:val="20"/>
              </w:rPr>
              <w:t>Date</w:t>
            </w:r>
          </w:p>
        </w:tc>
        <w:tc>
          <w:tcPr>
            <w:tcW w:w="2809" w:type="dxa"/>
            <w:shd w:val="clear" w:color="auto" w:fill="auto"/>
            <w:vAlign w:val="center"/>
          </w:tcPr>
          <w:p w:rsidR="000A4229" w:rsidRPr="00193AFB" w:rsidRDefault="000A4229" w:rsidP="003035F9">
            <w:pPr>
              <w:keepNext/>
              <w:ind w:left="34"/>
              <w:jc w:val="center"/>
              <w:outlineLvl w:val="1"/>
              <w:rPr>
                <w:rFonts w:ascii="Verdana" w:hAnsi="Verdana" w:cs="Arial"/>
                <w:b/>
                <w:sz w:val="20"/>
                <w:szCs w:val="20"/>
              </w:rPr>
            </w:pPr>
            <w:r w:rsidRPr="00193AFB">
              <w:rPr>
                <w:rFonts w:ascii="Verdana" w:hAnsi="Verdana" w:cs="Arial"/>
                <w:b/>
                <w:sz w:val="20"/>
                <w:szCs w:val="20"/>
              </w:rPr>
              <w:t>Approved by</w:t>
            </w:r>
          </w:p>
        </w:tc>
        <w:tc>
          <w:tcPr>
            <w:tcW w:w="1984" w:type="dxa"/>
            <w:shd w:val="clear" w:color="auto" w:fill="auto"/>
            <w:vAlign w:val="center"/>
          </w:tcPr>
          <w:p w:rsidR="000A4229" w:rsidRPr="00193AFB" w:rsidRDefault="000A4229" w:rsidP="003035F9">
            <w:pPr>
              <w:keepNext/>
              <w:ind w:left="33"/>
              <w:jc w:val="center"/>
              <w:outlineLvl w:val="1"/>
              <w:rPr>
                <w:rFonts w:ascii="Verdana" w:hAnsi="Verdana" w:cs="Arial"/>
                <w:b/>
                <w:sz w:val="20"/>
                <w:szCs w:val="20"/>
              </w:rPr>
            </w:pPr>
            <w:r w:rsidRPr="00193AFB">
              <w:rPr>
                <w:rFonts w:ascii="Verdana" w:hAnsi="Verdana" w:cs="Arial"/>
                <w:b/>
                <w:sz w:val="20"/>
                <w:szCs w:val="20"/>
              </w:rPr>
              <w:t>Date</w:t>
            </w:r>
          </w:p>
        </w:tc>
      </w:tr>
      <w:tr w:rsidR="00CE521B" w:rsidRPr="00193AFB" w:rsidTr="003035F9">
        <w:tc>
          <w:tcPr>
            <w:tcW w:w="1450" w:type="dxa"/>
            <w:shd w:val="clear" w:color="auto" w:fill="auto"/>
            <w:vAlign w:val="center"/>
          </w:tcPr>
          <w:p w:rsidR="00CE521B" w:rsidRPr="00193AFB" w:rsidRDefault="00CE521B" w:rsidP="003035F9">
            <w:pPr>
              <w:jc w:val="center"/>
              <w:rPr>
                <w:rFonts w:ascii="Verdana" w:hAnsi="Verdana" w:cs="Arial"/>
                <w:b/>
                <w:sz w:val="20"/>
                <w:szCs w:val="20"/>
              </w:rPr>
            </w:pPr>
            <w:r>
              <w:rPr>
                <w:rFonts w:ascii="Verdana" w:hAnsi="Verdana" w:cs="Arial"/>
                <w:b/>
                <w:sz w:val="20"/>
                <w:szCs w:val="20"/>
              </w:rPr>
              <w:t>Version 10</w:t>
            </w:r>
          </w:p>
        </w:tc>
        <w:tc>
          <w:tcPr>
            <w:tcW w:w="2142" w:type="dxa"/>
            <w:shd w:val="clear" w:color="auto" w:fill="auto"/>
            <w:vAlign w:val="center"/>
          </w:tcPr>
          <w:p w:rsidR="00CE521B" w:rsidRPr="00193AFB" w:rsidRDefault="00CE521B" w:rsidP="003035F9">
            <w:pPr>
              <w:keepNext/>
              <w:ind w:left="34"/>
              <w:jc w:val="center"/>
              <w:outlineLvl w:val="1"/>
              <w:rPr>
                <w:rFonts w:ascii="Verdana" w:hAnsi="Verdana" w:cs="Arial"/>
                <w:b/>
                <w:sz w:val="20"/>
                <w:szCs w:val="20"/>
              </w:rPr>
            </w:pPr>
            <w:r>
              <w:rPr>
                <w:rFonts w:ascii="Verdana" w:hAnsi="Verdana" w:cs="Arial"/>
                <w:b/>
                <w:sz w:val="20"/>
                <w:szCs w:val="20"/>
              </w:rPr>
              <w:t>Sarah Taylor</w:t>
            </w:r>
          </w:p>
        </w:tc>
        <w:tc>
          <w:tcPr>
            <w:tcW w:w="1929" w:type="dxa"/>
            <w:shd w:val="clear" w:color="auto" w:fill="auto"/>
            <w:vAlign w:val="center"/>
          </w:tcPr>
          <w:p w:rsidR="00CE521B" w:rsidRPr="00193AFB" w:rsidRDefault="00CE521B" w:rsidP="003035F9">
            <w:pPr>
              <w:keepNext/>
              <w:ind w:left="34" w:firstLine="18"/>
              <w:jc w:val="center"/>
              <w:outlineLvl w:val="1"/>
              <w:rPr>
                <w:rFonts w:ascii="Verdana" w:hAnsi="Verdana" w:cs="Arial"/>
                <w:b/>
                <w:sz w:val="20"/>
                <w:szCs w:val="20"/>
              </w:rPr>
            </w:pPr>
            <w:r>
              <w:rPr>
                <w:rFonts w:ascii="Verdana" w:hAnsi="Verdana" w:cs="Arial"/>
                <w:b/>
                <w:sz w:val="20"/>
                <w:szCs w:val="20"/>
              </w:rPr>
              <w:t>27/10/2020</w:t>
            </w:r>
          </w:p>
        </w:tc>
        <w:tc>
          <w:tcPr>
            <w:tcW w:w="2809" w:type="dxa"/>
            <w:shd w:val="clear" w:color="auto" w:fill="auto"/>
            <w:vAlign w:val="center"/>
          </w:tcPr>
          <w:p w:rsidR="00CE521B" w:rsidRPr="00193AFB" w:rsidRDefault="00DF0666" w:rsidP="003035F9">
            <w:pPr>
              <w:keepNext/>
              <w:ind w:left="34"/>
              <w:jc w:val="center"/>
              <w:outlineLvl w:val="1"/>
              <w:rPr>
                <w:rFonts w:ascii="Verdana" w:hAnsi="Verdana" w:cs="Arial"/>
                <w:b/>
                <w:sz w:val="20"/>
                <w:szCs w:val="20"/>
              </w:rPr>
            </w:pPr>
            <w:r>
              <w:rPr>
                <w:rFonts w:ascii="Verdana" w:hAnsi="Verdana" w:cs="Arial"/>
                <w:b/>
                <w:sz w:val="20"/>
                <w:szCs w:val="20"/>
              </w:rPr>
              <w:t>Council</w:t>
            </w:r>
          </w:p>
        </w:tc>
        <w:tc>
          <w:tcPr>
            <w:tcW w:w="1984" w:type="dxa"/>
            <w:shd w:val="clear" w:color="auto" w:fill="auto"/>
            <w:vAlign w:val="center"/>
          </w:tcPr>
          <w:p w:rsidR="00CE521B" w:rsidRPr="00193AFB" w:rsidRDefault="00DF0666" w:rsidP="003035F9">
            <w:pPr>
              <w:keepNext/>
              <w:ind w:left="33"/>
              <w:jc w:val="center"/>
              <w:outlineLvl w:val="1"/>
              <w:rPr>
                <w:rFonts w:ascii="Verdana" w:hAnsi="Verdana" w:cs="Arial"/>
                <w:b/>
                <w:sz w:val="20"/>
                <w:szCs w:val="20"/>
              </w:rPr>
            </w:pPr>
            <w:r>
              <w:rPr>
                <w:rFonts w:ascii="Verdana" w:hAnsi="Verdana" w:cs="Arial"/>
                <w:b/>
                <w:sz w:val="20"/>
                <w:szCs w:val="20"/>
              </w:rPr>
              <w:t>4</w:t>
            </w:r>
            <w:r w:rsidRPr="00DF0666">
              <w:rPr>
                <w:rFonts w:ascii="Verdana" w:hAnsi="Verdana" w:cs="Arial"/>
                <w:b/>
                <w:sz w:val="20"/>
                <w:szCs w:val="20"/>
                <w:vertAlign w:val="superscript"/>
              </w:rPr>
              <w:t>th</w:t>
            </w:r>
            <w:r>
              <w:rPr>
                <w:rFonts w:ascii="Verdana" w:hAnsi="Verdana" w:cs="Arial"/>
                <w:b/>
                <w:sz w:val="20"/>
                <w:szCs w:val="20"/>
              </w:rPr>
              <w:t xml:space="preserve"> Dec 2020</w:t>
            </w:r>
          </w:p>
        </w:tc>
      </w:tr>
    </w:tbl>
    <w:p w:rsidR="000A4229" w:rsidRDefault="000A4229" w:rsidP="000A4229">
      <w:pPr>
        <w:pStyle w:val="MediumGrid21"/>
        <w:jc w:val="center"/>
        <w:rPr>
          <w:rFonts w:ascii="Cambria" w:hAnsi="Cambria"/>
          <w:sz w:val="40"/>
          <w:szCs w:val="40"/>
          <w:lang w:eastAsia="en-GB"/>
        </w:rPr>
      </w:pPr>
    </w:p>
    <w:p w:rsidR="00CE521B" w:rsidRPr="00193AFB" w:rsidRDefault="00CE521B" w:rsidP="000A4229">
      <w:pPr>
        <w:pStyle w:val="MediumGrid21"/>
        <w:jc w:val="center"/>
        <w:rPr>
          <w:rFonts w:ascii="Cambria" w:hAnsi="Cambria"/>
          <w:sz w:val="40"/>
          <w:szCs w:val="40"/>
          <w:lang w:eastAsia="en-GB"/>
        </w:rPr>
      </w:pPr>
    </w:p>
    <w:p w:rsidR="000A4229" w:rsidRDefault="000A4229" w:rsidP="00254F59">
      <w:pPr>
        <w:pStyle w:val="MediumGrid21"/>
        <w:rPr>
          <w:rFonts w:ascii="Cambria" w:hAnsi="Cambria"/>
          <w:sz w:val="40"/>
          <w:szCs w:val="40"/>
          <w:lang w:eastAsia="en-GB"/>
        </w:rPr>
      </w:pPr>
    </w:p>
    <w:p w:rsidR="00254F59" w:rsidRPr="00193AFB" w:rsidRDefault="00254F59" w:rsidP="00254F59">
      <w:pPr>
        <w:pStyle w:val="MediumGrid21"/>
        <w:rPr>
          <w:rFonts w:ascii="Cambria" w:hAnsi="Cambria"/>
          <w:sz w:val="40"/>
          <w:szCs w:val="40"/>
          <w:lang w:eastAsia="en-GB"/>
        </w:rPr>
      </w:pPr>
    </w:p>
    <w:p w:rsidR="002B1FDD" w:rsidRPr="00F16666" w:rsidRDefault="002B1FDD" w:rsidP="000A4229">
      <w:pPr>
        <w:spacing w:after="0" w:line="240" w:lineRule="auto"/>
        <w:jc w:val="center"/>
        <w:rPr>
          <w:rFonts w:ascii="Arial" w:hAnsi="Arial" w:cs="Arial"/>
          <w:b/>
          <w:sz w:val="32"/>
          <w:szCs w:val="32"/>
        </w:rPr>
      </w:pPr>
      <w:r w:rsidRPr="00F16666">
        <w:rPr>
          <w:rFonts w:ascii="Arial" w:hAnsi="Arial" w:cs="Arial"/>
          <w:b/>
          <w:sz w:val="32"/>
          <w:szCs w:val="32"/>
        </w:rPr>
        <w:t>Risk Management Policy and Procedures</w:t>
      </w:r>
    </w:p>
    <w:p w:rsidR="002B1FDD" w:rsidRPr="00F16666" w:rsidRDefault="002B1FDD" w:rsidP="000A4229">
      <w:pPr>
        <w:spacing w:after="0" w:line="240" w:lineRule="auto"/>
        <w:jc w:val="both"/>
        <w:rPr>
          <w:rFonts w:ascii="Arial" w:hAnsi="Arial" w:cs="Arial"/>
          <w:b/>
          <w:sz w:val="32"/>
          <w:szCs w:val="32"/>
        </w:rPr>
      </w:pPr>
    </w:p>
    <w:p w:rsidR="002B1FDD" w:rsidRPr="002B1FDD" w:rsidRDefault="002B1FDD" w:rsidP="000A4229">
      <w:pPr>
        <w:numPr>
          <w:ilvl w:val="0"/>
          <w:numId w:val="15"/>
        </w:numPr>
        <w:spacing w:before="120" w:after="0" w:line="240" w:lineRule="auto"/>
        <w:ind w:left="426" w:hanging="426"/>
        <w:jc w:val="both"/>
        <w:rPr>
          <w:rFonts w:ascii="Verdana" w:hAnsi="Verdana" w:cs="Arial"/>
          <w:b/>
          <w:sz w:val="20"/>
          <w:szCs w:val="20"/>
        </w:rPr>
      </w:pPr>
      <w:r w:rsidRPr="002B1FDD">
        <w:rPr>
          <w:rFonts w:ascii="Verdana" w:hAnsi="Verdana" w:cs="Arial"/>
          <w:b/>
          <w:sz w:val="20"/>
          <w:szCs w:val="20"/>
        </w:rPr>
        <w:t>Introduction</w:t>
      </w:r>
    </w:p>
    <w:p w:rsidR="00EE2AEA" w:rsidRDefault="00EE2AEA" w:rsidP="000A4229">
      <w:pPr>
        <w:jc w:val="both"/>
        <w:rPr>
          <w:rFonts w:ascii="Verdana" w:hAnsi="Verdana" w:cs="Arial"/>
          <w:sz w:val="20"/>
          <w:szCs w:val="20"/>
        </w:rPr>
      </w:pPr>
    </w:p>
    <w:p w:rsidR="00EE2AEA" w:rsidRDefault="00EE2AEA" w:rsidP="000A4229">
      <w:pPr>
        <w:jc w:val="both"/>
        <w:rPr>
          <w:rFonts w:ascii="Verdana" w:hAnsi="Verdana" w:cs="Arial"/>
          <w:sz w:val="20"/>
          <w:szCs w:val="20"/>
        </w:rPr>
      </w:pPr>
      <w:r>
        <w:rPr>
          <w:rFonts w:ascii="Verdana" w:hAnsi="Verdana" w:cs="Arial"/>
          <w:sz w:val="20"/>
          <w:szCs w:val="20"/>
        </w:rPr>
        <w:t>The HEFCW Financial Management Code requires the University to:</w:t>
      </w:r>
    </w:p>
    <w:p w:rsidR="00EE2AEA" w:rsidRDefault="00EE2AEA" w:rsidP="000A4229">
      <w:pPr>
        <w:jc w:val="both"/>
        <w:rPr>
          <w:rFonts w:ascii="Verdana" w:hAnsi="Verdana" w:cs="Arial"/>
          <w:sz w:val="20"/>
          <w:szCs w:val="20"/>
        </w:rPr>
      </w:pPr>
      <w:r>
        <w:rPr>
          <w:rFonts w:ascii="Verdana" w:hAnsi="Verdana" w:cs="Arial"/>
          <w:sz w:val="20"/>
          <w:szCs w:val="20"/>
        </w:rPr>
        <w:t xml:space="preserve">“Ensure that it has an effective policy of risk management which is able to demonstrate that the organisation and management of the instituiton’s financial affairs are appropriately controlled.” </w:t>
      </w:r>
    </w:p>
    <w:p w:rsidR="00EE2AEA" w:rsidRDefault="00EE2AEA" w:rsidP="000A4229">
      <w:pPr>
        <w:jc w:val="both"/>
        <w:rPr>
          <w:rFonts w:ascii="Verdana" w:hAnsi="Verdana" w:cs="Arial"/>
          <w:sz w:val="20"/>
          <w:szCs w:val="20"/>
        </w:rPr>
      </w:pPr>
      <w:r>
        <w:rPr>
          <w:rFonts w:ascii="Verdana" w:hAnsi="Verdana" w:cs="Arial"/>
          <w:sz w:val="20"/>
          <w:szCs w:val="20"/>
        </w:rPr>
        <w:t>(para 41 Financial Management Code v1.0)</w:t>
      </w:r>
    </w:p>
    <w:p w:rsidR="00EE2AEA" w:rsidRDefault="00EE2AEA" w:rsidP="000A4229">
      <w:pPr>
        <w:jc w:val="both"/>
        <w:rPr>
          <w:rFonts w:ascii="Verdana" w:hAnsi="Verdana" w:cs="Arial"/>
          <w:sz w:val="20"/>
          <w:szCs w:val="20"/>
        </w:rPr>
      </w:pPr>
    </w:p>
    <w:p w:rsidR="00EE2AEA" w:rsidRPr="00254F59" w:rsidRDefault="00EE2AEA" w:rsidP="000A4229">
      <w:pPr>
        <w:jc w:val="both"/>
        <w:rPr>
          <w:rFonts w:ascii="Arial" w:hAnsi="Arial" w:cs="Arial"/>
          <w:sz w:val="20"/>
          <w:szCs w:val="20"/>
        </w:rPr>
      </w:pPr>
      <w:r>
        <w:rPr>
          <w:rFonts w:ascii="Verdana" w:hAnsi="Verdana" w:cs="Arial"/>
          <w:sz w:val="20"/>
          <w:szCs w:val="20"/>
        </w:rPr>
        <w:t>In addition, a</w:t>
      </w:r>
      <w:r w:rsidR="002B1FDD" w:rsidRPr="002B1FDD">
        <w:rPr>
          <w:rFonts w:ascii="Verdana" w:hAnsi="Verdana" w:cs="Arial"/>
          <w:sz w:val="20"/>
          <w:szCs w:val="20"/>
        </w:rPr>
        <w:t xml:space="preserve">ny organisation needs to know what it does well and where any potential risks lie that may prevent it from continuing to do so in the future. Deciding positively not to do something can be an option – understanding the importance of active risk management is vital at all levels of an organisation.  Embedding planning as part of the day to day operation is key to understanding risk </w:t>
      </w:r>
      <w:r w:rsidR="002B1FDD" w:rsidRPr="00254F59">
        <w:rPr>
          <w:rFonts w:ascii="Arial" w:hAnsi="Arial" w:cs="Arial"/>
          <w:sz w:val="20"/>
          <w:szCs w:val="20"/>
        </w:rPr>
        <w:t xml:space="preserve">and mitigating both its likelihood and its impact. </w:t>
      </w:r>
    </w:p>
    <w:p w:rsidR="00EE2AEA" w:rsidRPr="00254F59" w:rsidRDefault="00EE2AEA" w:rsidP="000A4229">
      <w:pPr>
        <w:jc w:val="both"/>
        <w:rPr>
          <w:rFonts w:ascii="Arial" w:hAnsi="Arial" w:cs="Arial"/>
          <w:sz w:val="20"/>
          <w:szCs w:val="20"/>
        </w:rPr>
      </w:pPr>
      <w:r w:rsidRPr="00254F59">
        <w:rPr>
          <w:rFonts w:ascii="Arial" w:hAnsi="Arial" w:cs="Arial"/>
          <w:sz w:val="20"/>
          <w:szCs w:val="20"/>
        </w:rPr>
        <w:t>The Risk Management Policy and Procedures forms part of the</w:t>
      </w:r>
      <w:r>
        <w:rPr>
          <w:rFonts w:ascii="Arial" w:hAnsi="Arial" w:cs="Arial"/>
          <w:sz w:val="20"/>
          <w:szCs w:val="20"/>
        </w:rPr>
        <w:t xml:space="preserve"> University’s </w:t>
      </w:r>
      <w:r w:rsidRPr="00254F59">
        <w:rPr>
          <w:rFonts w:ascii="Arial" w:hAnsi="Arial" w:cs="Arial"/>
          <w:sz w:val="20"/>
          <w:szCs w:val="20"/>
        </w:rPr>
        <w:t>internal controls and corporate governance arrangements.</w:t>
      </w:r>
      <w:r>
        <w:rPr>
          <w:rFonts w:ascii="Arial" w:hAnsi="Arial" w:cs="Arial"/>
          <w:sz w:val="20"/>
          <w:szCs w:val="20"/>
        </w:rPr>
        <w:t xml:space="preserve"> This outlines the University’s </w:t>
      </w:r>
      <w:r w:rsidRPr="00254F59">
        <w:rPr>
          <w:rFonts w:ascii="Arial" w:hAnsi="Arial" w:cs="Arial"/>
          <w:sz w:val="20"/>
          <w:szCs w:val="20"/>
        </w:rPr>
        <w:t>approach to risk management, documents the roles and responsibilities of the Governing Body, the University Executive and other key parties. It also outlines the system for evaluating risks and identifies the main reporting procedures</w:t>
      </w:r>
    </w:p>
    <w:p w:rsidR="002B1FDD" w:rsidRPr="002B1FDD" w:rsidRDefault="002B1FDD" w:rsidP="000A4229">
      <w:pPr>
        <w:jc w:val="both"/>
        <w:rPr>
          <w:rFonts w:ascii="Verdana" w:hAnsi="Verdana" w:cs="Arial"/>
          <w:sz w:val="20"/>
          <w:szCs w:val="20"/>
        </w:rPr>
      </w:pPr>
      <w:r w:rsidRPr="00254F59">
        <w:rPr>
          <w:rFonts w:ascii="Arial" w:hAnsi="Arial" w:cs="Arial"/>
          <w:sz w:val="20"/>
          <w:szCs w:val="20"/>
        </w:rPr>
        <w:t>Good internal controls and a commitment from senior management are prerequisites; but it’s the whole community of staff, who understand the business well, who can best design, deliver and strive to continuously improve the management</w:t>
      </w:r>
      <w:r w:rsidRPr="002B1FDD">
        <w:rPr>
          <w:rFonts w:ascii="Verdana" w:hAnsi="Verdana" w:cs="Arial"/>
          <w:sz w:val="20"/>
          <w:szCs w:val="20"/>
        </w:rPr>
        <w:t xml:space="preserve"> </w:t>
      </w:r>
      <w:r w:rsidRPr="00CE521B">
        <w:rPr>
          <w:rFonts w:ascii="Arial" w:hAnsi="Arial" w:cs="Arial"/>
          <w:sz w:val="20"/>
          <w:szCs w:val="20"/>
        </w:rPr>
        <w:t>of risks identified as part of their normal activities. The University Risk Management Policy Statement is included as Annex A.</w:t>
      </w:r>
    </w:p>
    <w:p w:rsidR="002B1FDD" w:rsidRPr="002B1FDD" w:rsidRDefault="002B1FDD" w:rsidP="002B1FDD">
      <w:pPr>
        <w:spacing w:after="0" w:line="240" w:lineRule="auto"/>
        <w:rPr>
          <w:rFonts w:ascii="Verdana" w:hAnsi="Verdana" w:cs="Arial"/>
          <w:b/>
          <w:sz w:val="20"/>
          <w:szCs w:val="20"/>
        </w:rPr>
      </w:pPr>
    </w:p>
    <w:p w:rsidR="002B1FDD" w:rsidRPr="002B1FDD" w:rsidRDefault="002B1FDD" w:rsidP="002B1FDD">
      <w:pPr>
        <w:numPr>
          <w:ilvl w:val="1"/>
          <w:numId w:val="15"/>
        </w:numPr>
        <w:tabs>
          <w:tab w:val="left" w:pos="426"/>
        </w:tabs>
        <w:spacing w:after="0" w:line="240" w:lineRule="auto"/>
        <w:ind w:left="284" w:hanging="284"/>
        <w:rPr>
          <w:rFonts w:ascii="Verdana" w:hAnsi="Verdana" w:cs="Arial"/>
          <w:b/>
          <w:sz w:val="20"/>
          <w:szCs w:val="20"/>
        </w:rPr>
      </w:pPr>
      <w:r w:rsidRPr="002B1FDD">
        <w:rPr>
          <w:rFonts w:ascii="Verdana" w:hAnsi="Verdana" w:cs="Arial"/>
          <w:b/>
          <w:sz w:val="20"/>
          <w:szCs w:val="20"/>
        </w:rPr>
        <w:t>Definition – Risk</w:t>
      </w:r>
    </w:p>
    <w:p w:rsidR="002B1FDD" w:rsidRPr="002B1FDD" w:rsidRDefault="002B1FDD" w:rsidP="002B1FDD">
      <w:pPr>
        <w:spacing w:after="0" w:line="240" w:lineRule="auto"/>
        <w:ind w:left="1440" w:hanging="1440"/>
        <w:rPr>
          <w:rFonts w:ascii="Verdana" w:hAnsi="Verdana" w:cs="Arial"/>
          <w:sz w:val="20"/>
          <w:szCs w:val="20"/>
        </w:rPr>
      </w:pPr>
    </w:p>
    <w:p w:rsidR="002B1FDD" w:rsidRPr="002B1FDD" w:rsidRDefault="002B1FDD" w:rsidP="002B1FDD">
      <w:pPr>
        <w:spacing w:after="0" w:line="240" w:lineRule="auto"/>
        <w:rPr>
          <w:rFonts w:ascii="Verdana" w:hAnsi="Verdana" w:cs="Arial"/>
          <w:sz w:val="20"/>
          <w:szCs w:val="20"/>
        </w:rPr>
      </w:pPr>
      <w:r w:rsidRPr="002B1FDD">
        <w:rPr>
          <w:rFonts w:ascii="Verdana" w:hAnsi="Verdana" w:cs="Arial"/>
          <w:sz w:val="20"/>
          <w:szCs w:val="20"/>
        </w:rPr>
        <w:t>A helpful definition of risk is:</w:t>
      </w:r>
    </w:p>
    <w:p w:rsidR="002B1FDD" w:rsidRPr="002B1FDD" w:rsidRDefault="002B1FDD" w:rsidP="000A4229">
      <w:pPr>
        <w:spacing w:before="120" w:after="120" w:line="240" w:lineRule="auto"/>
        <w:jc w:val="both"/>
        <w:rPr>
          <w:rFonts w:ascii="Verdana" w:hAnsi="Verdana" w:cs="Arial"/>
          <w:i/>
          <w:sz w:val="20"/>
          <w:szCs w:val="20"/>
        </w:rPr>
      </w:pPr>
      <w:r w:rsidRPr="002B1FDD" w:rsidDel="00CE46C1">
        <w:rPr>
          <w:rFonts w:ascii="Verdana" w:hAnsi="Verdana" w:cs="Arial"/>
          <w:sz w:val="20"/>
          <w:szCs w:val="20"/>
        </w:rPr>
        <w:t xml:space="preserve"> </w:t>
      </w:r>
      <w:r w:rsidRPr="002B1FDD">
        <w:rPr>
          <w:rFonts w:ascii="Verdana" w:hAnsi="Verdana" w:cs="Arial"/>
          <w:i/>
          <w:sz w:val="20"/>
          <w:szCs w:val="20"/>
        </w:rPr>
        <w:t>‘The threat that an event will adversely affect the ability to achieve objectives.  It arises as much from the likelihood that something good will not happen as it does from the threat that something bad will happen.’</w:t>
      </w:r>
    </w:p>
    <w:p w:rsidR="002B1FDD" w:rsidRPr="002B1FDD" w:rsidRDefault="002B1FDD" w:rsidP="000A4229">
      <w:pPr>
        <w:spacing w:before="120" w:after="0" w:line="240" w:lineRule="auto"/>
        <w:jc w:val="both"/>
        <w:rPr>
          <w:rFonts w:ascii="Verdana" w:hAnsi="Verdana" w:cs="Arial"/>
          <w:sz w:val="20"/>
          <w:szCs w:val="20"/>
        </w:rPr>
      </w:pPr>
      <w:r w:rsidRPr="002B1FDD">
        <w:rPr>
          <w:rFonts w:ascii="Verdana" w:hAnsi="Verdana" w:cs="Arial"/>
          <w:sz w:val="20"/>
          <w:szCs w:val="20"/>
        </w:rPr>
        <w:t xml:space="preserve">The University is exposed to risks derived from financial, political, legal and technological sources, among others.  </w:t>
      </w:r>
    </w:p>
    <w:p w:rsidR="002B1FDD" w:rsidRPr="002B1FDD" w:rsidRDefault="002B1FDD" w:rsidP="002B1FDD">
      <w:pPr>
        <w:spacing w:before="120" w:after="0" w:line="240" w:lineRule="auto"/>
        <w:rPr>
          <w:rFonts w:ascii="Verdana" w:hAnsi="Verdana" w:cs="Arial"/>
          <w:sz w:val="20"/>
          <w:szCs w:val="20"/>
        </w:rPr>
      </w:pPr>
    </w:p>
    <w:p w:rsidR="002B1FDD" w:rsidRPr="002B1FDD" w:rsidRDefault="002B1FDD" w:rsidP="002B1FDD">
      <w:pPr>
        <w:numPr>
          <w:ilvl w:val="1"/>
          <w:numId w:val="15"/>
        </w:numPr>
        <w:spacing w:after="0" w:line="240" w:lineRule="auto"/>
        <w:ind w:left="426" w:hanging="426"/>
        <w:rPr>
          <w:rFonts w:ascii="Verdana" w:hAnsi="Verdana" w:cs="Arial"/>
          <w:sz w:val="20"/>
          <w:szCs w:val="20"/>
        </w:rPr>
      </w:pPr>
      <w:r w:rsidRPr="002B1FDD">
        <w:rPr>
          <w:rFonts w:ascii="Verdana" w:hAnsi="Verdana" w:cs="Arial"/>
          <w:b/>
          <w:sz w:val="20"/>
          <w:szCs w:val="20"/>
        </w:rPr>
        <w:t>Definition – Risk management</w:t>
      </w:r>
    </w:p>
    <w:p w:rsidR="002B1FDD" w:rsidRPr="002B1FDD" w:rsidRDefault="002B1FDD" w:rsidP="002B1FDD">
      <w:pPr>
        <w:spacing w:after="0" w:line="240" w:lineRule="auto"/>
        <w:ind w:left="1440" w:hanging="1440"/>
        <w:rPr>
          <w:rFonts w:ascii="Verdana" w:hAnsi="Verdana" w:cs="Arial"/>
          <w:sz w:val="20"/>
          <w:szCs w:val="20"/>
        </w:rPr>
      </w:pPr>
    </w:p>
    <w:p w:rsidR="002B1FDD" w:rsidRPr="002B1FDD" w:rsidRDefault="002B1FDD" w:rsidP="002B1FDD">
      <w:pPr>
        <w:spacing w:after="0" w:line="240" w:lineRule="auto"/>
        <w:ind w:left="1440" w:hanging="1440"/>
        <w:rPr>
          <w:rFonts w:ascii="Verdana" w:hAnsi="Verdana" w:cs="Arial"/>
          <w:sz w:val="20"/>
          <w:szCs w:val="20"/>
        </w:rPr>
      </w:pPr>
      <w:r w:rsidRPr="002B1FDD">
        <w:rPr>
          <w:rFonts w:ascii="Verdana" w:hAnsi="Verdana" w:cs="Arial"/>
          <w:sz w:val="20"/>
          <w:szCs w:val="20"/>
        </w:rPr>
        <w:t>A helpful definition of risk management is:</w:t>
      </w:r>
    </w:p>
    <w:p w:rsidR="002B1FDD" w:rsidRPr="002B1FDD" w:rsidRDefault="002B1FDD" w:rsidP="000A4229">
      <w:pPr>
        <w:spacing w:before="120" w:after="0" w:line="240" w:lineRule="auto"/>
        <w:jc w:val="both"/>
        <w:rPr>
          <w:rFonts w:ascii="Verdana" w:hAnsi="Verdana" w:cs="Arial"/>
          <w:i/>
          <w:sz w:val="20"/>
          <w:szCs w:val="20"/>
        </w:rPr>
      </w:pPr>
      <w:r w:rsidRPr="002B1FDD">
        <w:rPr>
          <w:rFonts w:ascii="Verdana" w:hAnsi="Verdana" w:cs="Arial"/>
          <w:i/>
          <w:sz w:val="20"/>
          <w:szCs w:val="20"/>
        </w:rPr>
        <w:t>‘Taking actions and putting controls in place to reduce the uncertainty, prepare for the</w:t>
      </w:r>
      <w:r w:rsidR="000A4229">
        <w:rPr>
          <w:rFonts w:ascii="Verdana" w:hAnsi="Verdana" w:cs="Arial"/>
          <w:i/>
          <w:sz w:val="20"/>
          <w:szCs w:val="20"/>
        </w:rPr>
        <w:t xml:space="preserve"> </w:t>
      </w:r>
      <w:r w:rsidRPr="002B1FDD">
        <w:rPr>
          <w:rFonts w:ascii="Verdana" w:hAnsi="Verdana" w:cs="Arial"/>
          <w:i/>
          <w:sz w:val="20"/>
          <w:szCs w:val="20"/>
        </w:rPr>
        <w:t>consequences, and to make sure that the organisation can leverage risk to its best advantage.’</w:t>
      </w:r>
    </w:p>
    <w:p w:rsidR="002B1FDD" w:rsidRPr="002B1FDD" w:rsidRDefault="002B1FDD" w:rsidP="002B1FDD">
      <w:pPr>
        <w:rPr>
          <w:rFonts w:ascii="Verdana" w:hAnsi="Verdana" w:cs="Arial"/>
          <w:sz w:val="20"/>
          <w:szCs w:val="20"/>
        </w:rPr>
      </w:pPr>
    </w:p>
    <w:p w:rsidR="002B1FDD" w:rsidRPr="002B1FDD" w:rsidRDefault="002B1FDD" w:rsidP="000A4229">
      <w:pPr>
        <w:numPr>
          <w:ilvl w:val="1"/>
          <w:numId w:val="15"/>
        </w:numPr>
        <w:tabs>
          <w:tab w:val="left" w:pos="0"/>
        </w:tabs>
        <w:ind w:left="447" w:hanging="447"/>
        <w:jc w:val="both"/>
        <w:rPr>
          <w:rFonts w:ascii="Verdana" w:hAnsi="Verdana" w:cs="Arial"/>
          <w:b/>
          <w:sz w:val="20"/>
          <w:szCs w:val="20"/>
        </w:rPr>
      </w:pPr>
      <w:r w:rsidRPr="002B1FDD">
        <w:rPr>
          <w:rFonts w:ascii="Verdana" w:hAnsi="Verdana" w:cs="Arial"/>
          <w:b/>
          <w:sz w:val="20"/>
          <w:szCs w:val="20"/>
        </w:rPr>
        <w:t>Risk Management System</w:t>
      </w:r>
    </w:p>
    <w:p w:rsidR="002B1FDD" w:rsidRPr="002B1FDD" w:rsidRDefault="002B1FDD" w:rsidP="000A4229">
      <w:pPr>
        <w:tabs>
          <w:tab w:val="left" w:pos="0"/>
        </w:tabs>
        <w:jc w:val="both"/>
        <w:rPr>
          <w:rFonts w:ascii="Verdana" w:hAnsi="Verdana" w:cs="Arial"/>
          <w:sz w:val="20"/>
          <w:szCs w:val="20"/>
        </w:rPr>
      </w:pPr>
      <w:r w:rsidRPr="002B1FDD">
        <w:rPr>
          <w:rFonts w:ascii="Verdana" w:hAnsi="Verdana" w:cs="Arial"/>
          <w:sz w:val="20"/>
          <w:szCs w:val="20"/>
        </w:rPr>
        <w:t xml:space="preserve">The Executive encourages all </w:t>
      </w:r>
      <w:r w:rsidR="00EE2AEA">
        <w:rPr>
          <w:rFonts w:ascii="Verdana" w:hAnsi="Verdana" w:cs="Arial"/>
          <w:sz w:val="20"/>
          <w:szCs w:val="20"/>
        </w:rPr>
        <w:t>areas</w:t>
      </w:r>
      <w:r w:rsidR="00EE2AEA" w:rsidRPr="002B1FDD">
        <w:rPr>
          <w:rFonts w:ascii="Verdana" w:hAnsi="Verdana" w:cs="Arial"/>
          <w:sz w:val="20"/>
          <w:szCs w:val="20"/>
        </w:rPr>
        <w:t xml:space="preserve"> </w:t>
      </w:r>
      <w:r w:rsidRPr="002B1FDD">
        <w:rPr>
          <w:rFonts w:ascii="Verdana" w:hAnsi="Verdana" w:cs="Arial"/>
          <w:sz w:val="20"/>
          <w:szCs w:val="20"/>
        </w:rPr>
        <w:t xml:space="preserve">of the University to consider the risks they face and actively manage those risks in as transparent and responsible a way as possible.  The Risk Management system supports this approach across the organisation and provides structure for reporting and consideration of the risks identified. </w:t>
      </w:r>
    </w:p>
    <w:p w:rsidR="002B1FDD" w:rsidRPr="002B1FDD" w:rsidRDefault="002B1FDD" w:rsidP="002B1FDD">
      <w:pPr>
        <w:tabs>
          <w:tab w:val="left" w:pos="0"/>
        </w:tabs>
        <w:rPr>
          <w:rFonts w:ascii="Verdana" w:hAnsi="Verdana" w:cs="Arial"/>
          <w:b/>
          <w:sz w:val="20"/>
          <w:szCs w:val="20"/>
        </w:rPr>
      </w:pPr>
    </w:p>
    <w:p w:rsidR="002B1FDD" w:rsidRPr="002B1FDD" w:rsidRDefault="00EE2AEA" w:rsidP="002B1FDD">
      <w:pPr>
        <w:numPr>
          <w:ilvl w:val="0"/>
          <w:numId w:val="15"/>
        </w:numPr>
        <w:tabs>
          <w:tab w:val="left" w:pos="0"/>
        </w:tabs>
        <w:ind w:left="426" w:hanging="426"/>
        <w:rPr>
          <w:rFonts w:ascii="Verdana" w:hAnsi="Verdana" w:cs="Arial"/>
          <w:b/>
          <w:sz w:val="20"/>
          <w:szCs w:val="20"/>
        </w:rPr>
      </w:pPr>
      <w:r>
        <w:rPr>
          <w:rFonts w:ascii="Verdana" w:hAnsi="Verdana" w:cs="Arial"/>
          <w:b/>
          <w:sz w:val="20"/>
          <w:szCs w:val="20"/>
        </w:rPr>
        <w:t>Aims and Objectives</w:t>
      </w:r>
    </w:p>
    <w:p w:rsidR="002B1FDD" w:rsidRPr="002B1FDD" w:rsidRDefault="002B1FDD" w:rsidP="002B1FDD">
      <w:pPr>
        <w:tabs>
          <w:tab w:val="left" w:pos="0"/>
        </w:tabs>
        <w:rPr>
          <w:rFonts w:ascii="Verdana" w:hAnsi="Verdana" w:cs="Arial"/>
          <w:sz w:val="20"/>
          <w:szCs w:val="20"/>
        </w:rPr>
      </w:pPr>
      <w:r w:rsidRPr="002B1FDD">
        <w:rPr>
          <w:rFonts w:ascii="Verdana" w:hAnsi="Verdana" w:cs="Arial"/>
          <w:sz w:val="20"/>
          <w:szCs w:val="20"/>
        </w:rPr>
        <w:t>The University is committed to promoting a positive risk management culture</w:t>
      </w:r>
      <w:r w:rsidR="00EE2AEA">
        <w:rPr>
          <w:rFonts w:ascii="Verdana" w:hAnsi="Verdana" w:cs="Arial"/>
          <w:sz w:val="20"/>
          <w:szCs w:val="20"/>
        </w:rPr>
        <w:t xml:space="preserve"> and aims toe nsure that robust systems of control and contingency plans are in place. The Risk Management Policy and Procedures have been designed for use by all University staff and serves to</w:t>
      </w:r>
      <w:r w:rsidRPr="002B1FDD">
        <w:rPr>
          <w:rFonts w:ascii="Verdana" w:hAnsi="Verdana" w:cs="Arial"/>
          <w:sz w:val="20"/>
          <w:szCs w:val="20"/>
        </w:rPr>
        <w:t>:</w:t>
      </w:r>
    </w:p>
    <w:p w:rsidR="00EE2AEA" w:rsidRDefault="00EE2AEA" w:rsidP="00254F59">
      <w:pPr>
        <w:numPr>
          <w:ilvl w:val="0"/>
          <w:numId w:val="25"/>
        </w:numPr>
        <w:autoSpaceDE w:val="0"/>
        <w:autoSpaceDN w:val="0"/>
        <w:adjustRightInd w:val="0"/>
        <w:spacing w:after="174"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Communicate approaches for managing risk across the institution to all appropriate persons/organisations working for or on behalf of the organisation to encourage a unified approach whether acting as principal or agent </w:t>
      </w:r>
    </w:p>
    <w:p w:rsidR="00EE2AEA" w:rsidRPr="00EE2AEA" w:rsidRDefault="00EE2AEA" w:rsidP="00254F59">
      <w:pPr>
        <w:numPr>
          <w:ilvl w:val="0"/>
          <w:numId w:val="25"/>
        </w:numPr>
        <w:autoSpaceDE w:val="0"/>
        <w:autoSpaceDN w:val="0"/>
        <w:adjustRightInd w:val="0"/>
        <w:spacing w:after="174"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Establish procedures that should be adopted in the risk management process, involving staff and other stakeholders in identifying risks and their mitigation </w:t>
      </w:r>
    </w:p>
    <w:p w:rsidR="00EE2AEA" w:rsidRDefault="00EE2AEA" w:rsidP="00EE2AEA">
      <w:p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The Objectives of the Risk Management processes are to: </w:t>
      </w:r>
    </w:p>
    <w:p w:rsidR="00EE2AEA" w:rsidRPr="00EE2AEA" w:rsidRDefault="00EE2AEA" w:rsidP="00EE2AEA">
      <w:pPr>
        <w:autoSpaceDE w:val="0"/>
        <w:autoSpaceDN w:val="0"/>
        <w:adjustRightInd w:val="0"/>
        <w:spacing w:after="0" w:line="240" w:lineRule="auto"/>
        <w:rPr>
          <w:rFonts w:ascii="Verdana" w:hAnsi="Verdana" w:cs="Verdana"/>
          <w:color w:val="000000"/>
          <w:sz w:val="20"/>
          <w:szCs w:val="20"/>
          <w:lang w:val="en-US"/>
        </w:rPr>
      </w:pPr>
    </w:p>
    <w:p w:rsidR="00EE2AEA" w:rsidRDefault="00EE2AEA" w:rsidP="00254F59">
      <w:pPr>
        <w:numPr>
          <w:ilvl w:val="0"/>
          <w:numId w:val="26"/>
        </w:numPr>
        <w:autoSpaceDE w:val="0"/>
        <w:autoSpaceDN w:val="0"/>
        <w:adjustRightInd w:val="0"/>
        <w:spacing w:after="172"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Protect students, staff and visitors to and assets of the University </w:t>
      </w:r>
    </w:p>
    <w:p w:rsidR="00EE2AEA" w:rsidRDefault="00EE2AEA" w:rsidP="00254F59">
      <w:pPr>
        <w:numPr>
          <w:ilvl w:val="0"/>
          <w:numId w:val="26"/>
        </w:numPr>
        <w:autoSpaceDE w:val="0"/>
        <w:autoSpaceDN w:val="0"/>
        <w:adjustRightInd w:val="0"/>
        <w:spacing w:after="172"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Manage risk in accordance with best practice and reduce the cost of risk </w:t>
      </w:r>
    </w:p>
    <w:p w:rsidR="00EE2AEA" w:rsidRDefault="00EE2AEA" w:rsidP="00254F59">
      <w:pPr>
        <w:numPr>
          <w:ilvl w:val="0"/>
          <w:numId w:val="26"/>
        </w:numPr>
        <w:autoSpaceDE w:val="0"/>
        <w:autoSpaceDN w:val="0"/>
        <w:adjustRightInd w:val="0"/>
        <w:spacing w:after="172" w:line="240" w:lineRule="auto"/>
        <w:rPr>
          <w:rFonts w:ascii="Verdana" w:hAnsi="Verdana" w:cs="Verdana"/>
          <w:color w:val="000000"/>
          <w:sz w:val="20"/>
          <w:szCs w:val="20"/>
          <w:lang w:val="en-US"/>
        </w:rPr>
      </w:pPr>
      <w:r>
        <w:rPr>
          <w:rFonts w:ascii="Verdana" w:hAnsi="Verdana" w:cs="Verdana"/>
          <w:color w:val="000000"/>
          <w:sz w:val="20"/>
          <w:szCs w:val="20"/>
          <w:lang w:val="en-US"/>
        </w:rPr>
        <w:t>Anticipate and respond to changing social, environmental and legislative requirements</w:t>
      </w:r>
    </w:p>
    <w:p w:rsidR="00EE2AEA" w:rsidRPr="00EE2AEA" w:rsidRDefault="00EE2AEA" w:rsidP="00254F59">
      <w:pPr>
        <w:numPr>
          <w:ilvl w:val="0"/>
          <w:numId w:val="26"/>
        </w:numPr>
        <w:autoSpaceDE w:val="0"/>
        <w:autoSpaceDN w:val="0"/>
        <w:adjustRightInd w:val="0"/>
        <w:spacing w:after="172" w:line="240" w:lineRule="auto"/>
        <w:rPr>
          <w:rFonts w:ascii="Verdana" w:hAnsi="Verdana" w:cs="Verdana"/>
          <w:color w:val="000000"/>
          <w:sz w:val="20"/>
          <w:szCs w:val="20"/>
          <w:lang w:val="en-US"/>
        </w:rPr>
      </w:pPr>
      <w:r>
        <w:rPr>
          <w:rFonts w:ascii="Verdana" w:hAnsi="Verdana" w:cs="Verdana"/>
          <w:color w:val="000000"/>
          <w:sz w:val="20"/>
          <w:szCs w:val="20"/>
          <w:lang w:val="en-US"/>
        </w:rPr>
        <w:t>Raise awareness of the need for risk management</w:t>
      </w:r>
    </w:p>
    <w:p w:rsidR="00EE2AEA" w:rsidRPr="00EE2AEA" w:rsidRDefault="00EE2AEA" w:rsidP="00254F59">
      <w:pPr>
        <w:numPr>
          <w:ilvl w:val="0"/>
          <w:numId w:val="26"/>
        </w:numPr>
        <w:autoSpaceDE w:val="0"/>
        <w:autoSpaceDN w:val="0"/>
        <w:adjustRightInd w:val="0"/>
        <w:spacing w:after="172" w:line="240" w:lineRule="auto"/>
        <w:rPr>
          <w:rFonts w:ascii="Verdana" w:hAnsi="Verdana" w:cs="Verdana"/>
          <w:color w:val="000000"/>
          <w:sz w:val="20"/>
          <w:szCs w:val="20"/>
          <w:lang w:val="en-US"/>
        </w:rPr>
      </w:pPr>
      <w:r>
        <w:rPr>
          <w:rFonts w:ascii="Verdana" w:hAnsi="Verdana" w:cs="Verdana"/>
          <w:color w:val="000000"/>
          <w:sz w:val="20"/>
          <w:szCs w:val="20"/>
          <w:lang w:val="en-US"/>
        </w:rPr>
        <w:t>I</w:t>
      </w:r>
      <w:r w:rsidRPr="00EE2AEA">
        <w:rPr>
          <w:rFonts w:ascii="Verdana" w:hAnsi="Verdana" w:cs="Verdana"/>
          <w:color w:val="000000"/>
          <w:sz w:val="20"/>
          <w:szCs w:val="20"/>
          <w:lang w:val="en-US"/>
        </w:rPr>
        <w:t xml:space="preserve">ntegrate risk management into the culture of the University </w:t>
      </w:r>
    </w:p>
    <w:p w:rsidR="00EE2AEA" w:rsidRPr="00EE2AEA" w:rsidRDefault="00EE2AEA" w:rsidP="00254F59">
      <w:pPr>
        <w:numPr>
          <w:ilvl w:val="0"/>
          <w:numId w:val="26"/>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Adopt legal compliance with all relevant legislation, codes of practice, policies and procedures as a minimum standard </w:t>
      </w:r>
    </w:p>
    <w:p w:rsidR="00EE2AEA" w:rsidRDefault="00EE2AEA" w:rsidP="00EE2AEA">
      <w:pPr>
        <w:tabs>
          <w:tab w:val="left" w:pos="0"/>
        </w:tabs>
        <w:spacing w:after="120" w:line="240" w:lineRule="auto"/>
        <w:ind w:left="1080"/>
        <w:rPr>
          <w:rFonts w:ascii="Verdana" w:hAnsi="Verdana" w:cs="Arial"/>
          <w:sz w:val="20"/>
          <w:szCs w:val="20"/>
        </w:rPr>
      </w:pPr>
    </w:p>
    <w:p w:rsidR="00EE2AEA" w:rsidRPr="00254F59" w:rsidRDefault="00EE2AEA" w:rsidP="00254F59">
      <w:pPr>
        <w:numPr>
          <w:ilvl w:val="0"/>
          <w:numId w:val="15"/>
        </w:numPr>
        <w:tabs>
          <w:tab w:val="left" w:pos="0"/>
        </w:tabs>
        <w:spacing w:after="120" w:line="240" w:lineRule="auto"/>
        <w:ind w:left="426" w:hanging="426"/>
        <w:rPr>
          <w:rFonts w:ascii="Verdana" w:hAnsi="Verdana" w:cs="Arial"/>
          <w:sz w:val="20"/>
          <w:szCs w:val="20"/>
        </w:rPr>
      </w:pPr>
      <w:r>
        <w:rPr>
          <w:rFonts w:ascii="Verdana" w:hAnsi="Verdana" w:cs="Arial"/>
          <w:b/>
          <w:sz w:val="20"/>
          <w:szCs w:val="20"/>
        </w:rPr>
        <w:t>Implementation</w:t>
      </w:r>
    </w:p>
    <w:p w:rsidR="00EE2AEA" w:rsidRPr="00EE2AEA" w:rsidRDefault="00EE2AEA" w:rsidP="00254F59">
      <w:pPr>
        <w:autoSpaceDE w:val="0"/>
        <w:autoSpaceDN w:val="0"/>
        <w:adjustRightInd w:val="0"/>
        <w:spacing w:after="0" w:line="240" w:lineRule="auto"/>
        <w:ind w:left="426" w:hanging="426"/>
        <w:rPr>
          <w:rFonts w:ascii="Verdana" w:hAnsi="Verdana" w:cs="Verdana"/>
          <w:color w:val="000000"/>
          <w:sz w:val="20"/>
          <w:szCs w:val="20"/>
          <w:lang w:val="en-US"/>
        </w:rPr>
      </w:pPr>
      <w:r w:rsidRPr="00EE2AEA">
        <w:rPr>
          <w:rFonts w:ascii="Verdana" w:hAnsi="Verdana" w:cs="Verdana"/>
          <w:b/>
          <w:bCs/>
          <w:color w:val="000000"/>
          <w:sz w:val="20"/>
          <w:szCs w:val="20"/>
          <w:lang w:val="en-US"/>
        </w:rPr>
        <w:t xml:space="preserve">a. </w:t>
      </w:r>
      <w:r w:rsidR="00C47B3C">
        <w:rPr>
          <w:rFonts w:ascii="Verdana" w:hAnsi="Verdana" w:cs="Verdana"/>
          <w:b/>
          <w:bCs/>
          <w:color w:val="000000"/>
          <w:sz w:val="20"/>
          <w:szCs w:val="20"/>
          <w:lang w:val="en-US"/>
        </w:rPr>
        <w:tab/>
      </w:r>
      <w:r w:rsidRPr="00EE2AEA">
        <w:rPr>
          <w:rFonts w:ascii="Verdana" w:hAnsi="Verdana" w:cs="Verdana"/>
          <w:color w:val="000000"/>
          <w:sz w:val="20"/>
          <w:szCs w:val="20"/>
          <w:lang w:val="en-US"/>
        </w:rPr>
        <w:t>The Governing Body will oversee the implementation of these objectives through the University Executive who will have overall responsibility for ensuring that procedures are in place to maintain effective management of risk</w:t>
      </w:r>
      <w:r w:rsidRPr="00EE2AEA">
        <w:rPr>
          <w:rFonts w:cs="Calibri"/>
          <w:color w:val="000000"/>
          <w:sz w:val="20"/>
          <w:szCs w:val="20"/>
          <w:lang w:val="en-US"/>
        </w:rPr>
        <w:t xml:space="preserve">. </w:t>
      </w:r>
    </w:p>
    <w:p w:rsidR="00EE2AEA" w:rsidRPr="00EE2AEA" w:rsidRDefault="00EE2AEA" w:rsidP="00EE2AEA">
      <w:pPr>
        <w:numPr>
          <w:ilvl w:val="1"/>
          <w:numId w:val="28"/>
        </w:numPr>
        <w:autoSpaceDE w:val="0"/>
        <w:autoSpaceDN w:val="0"/>
        <w:adjustRightInd w:val="0"/>
        <w:spacing w:after="0" w:line="240" w:lineRule="auto"/>
        <w:rPr>
          <w:rFonts w:ascii="Verdana" w:hAnsi="Verdana" w:cs="Verdana"/>
          <w:color w:val="000000"/>
          <w:sz w:val="20"/>
          <w:szCs w:val="20"/>
          <w:lang w:val="en-US"/>
        </w:rPr>
      </w:pPr>
    </w:p>
    <w:p w:rsidR="00EE2AEA" w:rsidRDefault="00EE2AEA" w:rsidP="00EE2AEA">
      <w:p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To achieve these aims, the </w:t>
      </w:r>
      <w:r w:rsidRPr="00EE2AEA">
        <w:rPr>
          <w:rFonts w:ascii="Verdana" w:hAnsi="Verdana" w:cs="Verdana"/>
          <w:b/>
          <w:bCs/>
          <w:i/>
          <w:iCs/>
          <w:color w:val="000000"/>
          <w:sz w:val="20"/>
          <w:szCs w:val="20"/>
          <w:lang w:val="en-US"/>
        </w:rPr>
        <w:t xml:space="preserve">University Executive </w:t>
      </w:r>
      <w:r w:rsidRPr="00EE2AEA">
        <w:rPr>
          <w:rFonts w:ascii="Verdana" w:hAnsi="Verdana" w:cs="Verdana"/>
          <w:color w:val="000000"/>
          <w:sz w:val="20"/>
          <w:szCs w:val="20"/>
          <w:lang w:val="en-US"/>
        </w:rPr>
        <w:t xml:space="preserve">will: </w:t>
      </w:r>
    </w:p>
    <w:p w:rsidR="00EE2AEA" w:rsidRPr="00EE2AEA" w:rsidRDefault="00EE2AEA" w:rsidP="00EE2AEA">
      <w:pPr>
        <w:autoSpaceDE w:val="0"/>
        <w:autoSpaceDN w:val="0"/>
        <w:adjustRightInd w:val="0"/>
        <w:spacing w:after="0" w:line="240" w:lineRule="auto"/>
        <w:rPr>
          <w:rFonts w:ascii="Verdana" w:hAnsi="Verdana" w:cs="Verdana"/>
          <w:color w:val="000000"/>
          <w:sz w:val="20"/>
          <w:szCs w:val="20"/>
          <w:lang w:val="en-US"/>
        </w:rPr>
      </w:pPr>
    </w:p>
    <w:p w:rsidR="00EE2AEA" w:rsidRPr="00EE2AEA" w:rsidRDefault="00EE2AEA" w:rsidP="00254F59">
      <w:pPr>
        <w:numPr>
          <w:ilvl w:val="0"/>
          <w:numId w:val="31"/>
        </w:numPr>
        <w:autoSpaceDE w:val="0"/>
        <w:autoSpaceDN w:val="0"/>
        <w:adjustRightInd w:val="0"/>
        <w:spacing w:after="138"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Identify and evaluate both generic and specific risk inherent in the organisation and in delivering the Strategic Plan </w:t>
      </w:r>
    </w:p>
    <w:p w:rsidR="00EE2AEA" w:rsidRPr="00EE2AEA" w:rsidRDefault="00EE2AEA" w:rsidP="00254F59">
      <w:pPr>
        <w:numPr>
          <w:ilvl w:val="0"/>
          <w:numId w:val="31"/>
        </w:numPr>
        <w:autoSpaceDE w:val="0"/>
        <w:autoSpaceDN w:val="0"/>
        <w:adjustRightInd w:val="0"/>
        <w:spacing w:after="138"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Maintain documented procedures for the management of risk </w:t>
      </w:r>
    </w:p>
    <w:p w:rsidR="00EE2AEA" w:rsidRPr="00EE2AEA" w:rsidRDefault="00EE2AEA" w:rsidP="00254F59">
      <w:pPr>
        <w:numPr>
          <w:ilvl w:val="0"/>
          <w:numId w:val="31"/>
        </w:numPr>
        <w:autoSpaceDE w:val="0"/>
        <w:autoSpaceDN w:val="0"/>
        <w:adjustRightInd w:val="0"/>
        <w:spacing w:after="138" w:line="240" w:lineRule="auto"/>
        <w:rPr>
          <w:rFonts w:ascii="Verdana" w:hAnsi="Verdana" w:cs="Verdana"/>
          <w:color w:val="000000"/>
          <w:sz w:val="20"/>
          <w:szCs w:val="20"/>
          <w:lang w:val="en-US"/>
        </w:rPr>
      </w:pPr>
      <w:r>
        <w:rPr>
          <w:rFonts w:ascii="Verdana" w:hAnsi="Verdana" w:cs="Verdana"/>
          <w:color w:val="000000"/>
          <w:sz w:val="20"/>
          <w:szCs w:val="20"/>
          <w:lang w:val="en-US"/>
        </w:rPr>
        <w:t>P</w:t>
      </w:r>
      <w:r w:rsidRPr="00EE2AEA">
        <w:rPr>
          <w:rFonts w:ascii="Verdana" w:hAnsi="Verdana" w:cs="Verdana"/>
          <w:color w:val="000000"/>
          <w:sz w:val="20"/>
          <w:szCs w:val="20"/>
          <w:lang w:val="en-US"/>
        </w:rPr>
        <w:t xml:space="preserve">rovide suitable information, training and supervision, ensuring management competence is maintained to manage risk </w:t>
      </w:r>
    </w:p>
    <w:p w:rsidR="00EE2AEA" w:rsidRPr="00EE2AEA" w:rsidRDefault="00EE2AEA" w:rsidP="00254F59">
      <w:pPr>
        <w:numPr>
          <w:ilvl w:val="0"/>
          <w:numId w:val="31"/>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Maintain effective communication and the active involvement of employees and other stakeholders in identifying risks and their mitigation, including regular reporting to Council Committees and other stakeholders as appropriate </w:t>
      </w:r>
    </w:p>
    <w:p w:rsidR="00EE2AEA" w:rsidRPr="00EE2AEA" w:rsidRDefault="00EE2AEA" w:rsidP="00EE2AEA">
      <w:pPr>
        <w:autoSpaceDE w:val="0"/>
        <w:autoSpaceDN w:val="0"/>
        <w:adjustRightInd w:val="0"/>
        <w:spacing w:after="0" w:line="240" w:lineRule="auto"/>
        <w:rPr>
          <w:rFonts w:ascii="Verdana" w:hAnsi="Verdana" w:cs="Verdana"/>
          <w:color w:val="000000"/>
          <w:sz w:val="20"/>
          <w:szCs w:val="20"/>
          <w:lang w:val="en-US"/>
        </w:rPr>
      </w:pPr>
    </w:p>
    <w:p w:rsidR="00EE2AEA" w:rsidRDefault="00EE2AEA" w:rsidP="00254F59">
      <w:pPr>
        <w:numPr>
          <w:ilvl w:val="0"/>
          <w:numId w:val="31"/>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Maintain an appropriate incident reporting and recording system, with investigation procedures to establish cause and prevent recurrence </w:t>
      </w:r>
    </w:p>
    <w:p w:rsidR="00EE2AEA" w:rsidRDefault="00EE2AEA" w:rsidP="00EE2AEA">
      <w:pPr>
        <w:autoSpaceDE w:val="0"/>
        <w:autoSpaceDN w:val="0"/>
        <w:adjustRightInd w:val="0"/>
        <w:spacing w:after="0" w:line="240" w:lineRule="auto"/>
        <w:rPr>
          <w:rFonts w:ascii="Verdana" w:hAnsi="Verdana" w:cs="Verdana"/>
          <w:color w:val="000000"/>
          <w:sz w:val="20"/>
          <w:szCs w:val="20"/>
          <w:lang w:val="en-US"/>
        </w:rPr>
      </w:pPr>
    </w:p>
    <w:p w:rsidR="00EE2AEA" w:rsidRPr="00EE2AEA" w:rsidRDefault="00EE2AEA" w:rsidP="00254F59">
      <w:pPr>
        <w:numPr>
          <w:ilvl w:val="0"/>
          <w:numId w:val="31"/>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Monitor risk management arrangements on an ongoing basis, including periodic review by Internal Audit </w:t>
      </w:r>
    </w:p>
    <w:p w:rsidR="00EE2AEA" w:rsidRDefault="00EE2AEA" w:rsidP="00EE2AEA">
      <w:pPr>
        <w:tabs>
          <w:tab w:val="left" w:pos="0"/>
        </w:tabs>
        <w:spacing w:after="120" w:line="240" w:lineRule="auto"/>
        <w:rPr>
          <w:rFonts w:ascii="Verdana" w:hAnsi="Verdana" w:cs="Arial"/>
          <w:sz w:val="20"/>
          <w:szCs w:val="20"/>
        </w:rPr>
      </w:pPr>
    </w:p>
    <w:p w:rsidR="00EE2AEA" w:rsidRPr="00EE2AEA" w:rsidRDefault="00EE2AEA" w:rsidP="00EE2AEA">
      <w:pPr>
        <w:autoSpaceDE w:val="0"/>
        <w:autoSpaceDN w:val="0"/>
        <w:adjustRightInd w:val="0"/>
        <w:spacing w:after="0" w:line="240" w:lineRule="auto"/>
        <w:rPr>
          <w:rFonts w:cs="Calibri"/>
          <w:color w:val="000000"/>
          <w:sz w:val="24"/>
          <w:szCs w:val="24"/>
          <w:lang w:val="en-US"/>
        </w:rPr>
      </w:pPr>
    </w:p>
    <w:p w:rsidR="00EE2AEA" w:rsidRPr="00EE2AEA" w:rsidRDefault="00EE2AEA" w:rsidP="00254F59">
      <w:pPr>
        <w:autoSpaceDE w:val="0"/>
        <w:autoSpaceDN w:val="0"/>
        <w:adjustRightInd w:val="0"/>
        <w:spacing w:after="0" w:line="240" w:lineRule="auto"/>
        <w:ind w:left="567" w:hanging="567"/>
        <w:rPr>
          <w:rFonts w:cs="Calibri"/>
          <w:color w:val="000000"/>
          <w:sz w:val="20"/>
          <w:szCs w:val="20"/>
          <w:lang w:val="en-US"/>
        </w:rPr>
      </w:pPr>
      <w:r w:rsidRPr="00EE2AEA">
        <w:rPr>
          <w:rFonts w:cs="Calibri"/>
          <w:b/>
          <w:bCs/>
          <w:color w:val="000000"/>
          <w:sz w:val="23"/>
          <w:szCs w:val="23"/>
          <w:lang w:val="en-US"/>
        </w:rPr>
        <w:t xml:space="preserve">b. </w:t>
      </w:r>
      <w:r w:rsidR="00C47B3C">
        <w:rPr>
          <w:rFonts w:cs="Calibri"/>
          <w:b/>
          <w:bCs/>
          <w:color w:val="000000"/>
          <w:sz w:val="23"/>
          <w:szCs w:val="23"/>
          <w:lang w:val="en-US"/>
        </w:rPr>
        <w:tab/>
      </w:r>
      <w:r w:rsidRPr="00EE2AEA">
        <w:rPr>
          <w:rFonts w:ascii="Verdana" w:hAnsi="Verdana" w:cs="Verdana"/>
          <w:color w:val="000000"/>
          <w:sz w:val="20"/>
          <w:szCs w:val="20"/>
          <w:lang w:val="en-US"/>
        </w:rPr>
        <w:t xml:space="preserve">The role of the </w:t>
      </w:r>
      <w:r w:rsidRPr="00EE2AEA">
        <w:rPr>
          <w:rFonts w:ascii="Verdana" w:hAnsi="Verdana" w:cs="Verdana"/>
          <w:b/>
          <w:bCs/>
          <w:i/>
          <w:iCs/>
          <w:color w:val="000000"/>
          <w:sz w:val="20"/>
          <w:szCs w:val="20"/>
          <w:lang w:val="en-US"/>
        </w:rPr>
        <w:t xml:space="preserve">Audit, Risk and Assurance Committee </w:t>
      </w:r>
      <w:r w:rsidRPr="00EE2AEA">
        <w:rPr>
          <w:rFonts w:ascii="Verdana" w:hAnsi="Verdana" w:cs="Verdana"/>
          <w:color w:val="000000"/>
          <w:sz w:val="20"/>
          <w:szCs w:val="20"/>
          <w:lang w:val="en-US"/>
        </w:rPr>
        <w:t>is to advise the Governing Body on the</w:t>
      </w:r>
      <w:r w:rsidR="00C47B3C">
        <w:rPr>
          <w:rFonts w:ascii="Verdana" w:hAnsi="Verdana" w:cs="Verdana"/>
          <w:color w:val="000000"/>
          <w:sz w:val="20"/>
          <w:szCs w:val="20"/>
          <w:lang w:val="en-US"/>
        </w:rPr>
        <w:t xml:space="preserve"> effectiveness of the institution’s risk management, </w:t>
      </w:r>
      <w:r w:rsidRPr="00EE2AEA">
        <w:rPr>
          <w:rFonts w:ascii="Verdana" w:hAnsi="Verdana" w:cs="Verdana"/>
          <w:color w:val="000000"/>
          <w:sz w:val="20"/>
          <w:szCs w:val="20"/>
          <w:lang w:val="en-US"/>
        </w:rPr>
        <w:t xml:space="preserve">control and governance arrangements and the arrangements to promote economy, efficiency and effectiveness (Value for Money). </w:t>
      </w:r>
    </w:p>
    <w:p w:rsidR="00EE2AEA" w:rsidRPr="00EE2AEA" w:rsidRDefault="00EE2AEA" w:rsidP="00C47B3C">
      <w:pPr>
        <w:numPr>
          <w:ilvl w:val="1"/>
          <w:numId w:val="29"/>
        </w:numPr>
        <w:autoSpaceDE w:val="0"/>
        <w:autoSpaceDN w:val="0"/>
        <w:adjustRightInd w:val="0"/>
        <w:spacing w:after="0" w:line="240" w:lineRule="auto"/>
        <w:ind w:left="426" w:hanging="426"/>
        <w:rPr>
          <w:rFonts w:cs="Calibri"/>
          <w:color w:val="000000"/>
          <w:sz w:val="20"/>
          <w:szCs w:val="20"/>
          <w:lang w:val="en-US"/>
        </w:rPr>
      </w:pPr>
    </w:p>
    <w:p w:rsidR="00EE2AEA" w:rsidRDefault="00EE2AEA" w:rsidP="00C47B3C">
      <w:pPr>
        <w:pStyle w:val="Default"/>
        <w:ind w:left="426" w:hanging="426"/>
        <w:rPr>
          <w:rFonts w:ascii="Verdana" w:hAnsi="Verdana" w:cs="Verdana"/>
          <w:sz w:val="20"/>
          <w:szCs w:val="20"/>
          <w:lang w:val="en-US"/>
        </w:rPr>
      </w:pPr>
      <w:r w:rsidRPr="00EE2AEA">
        <w:rPr>
          <w:rFonts w:ascii="Verdana" w:hAnsi="Verdana" w:cs="Verdana"/>
          <w:sz w:val="20"/>
          <w:szCs w:val="20"/>
          <w:lang w:val="en-US"/>
        </w:rPr>
        <w:lastRenderedPageBreak/>
        <w:t>As part of this role, the Audit</w:t>
      </w:r>
      <w:r w:rsidR="001742CA">
        <w:rPr>
          <w:rFonts w:ascii="Verdana" w:hAnsi="Verdana" w:cs="Verdana"/>
          <w:sz w:val="20"/>
          <w:szCs w:val="20"/>
          <w:lang w:val="en-US"/>
        </w:rPr>
        <w:t xml:space="preserve">, </w:t>
      </w:r>
      <w:r w:rsidRPr="00EE2AEA">
        <w:rPr>
          <w:rFonts w:ascii="Verdana" w:hAnsi="Verdana" w:cs="Verdana"/>
          <w:sz w:val="20"/>
          <w:szCs w:val="20"/>
          <w:lang w:val="en-US"/>
        </w:rPr>
        <w:t>Risk</w:t>
      </w:r>
      <w:r w:rsidR="001742CA">
        <w:rPr>
          <w:rFonts w:ascii="Verdana" w:hAnsi="Verdana" w:cs="Verdana"/>
          <w:sz w:val="20"/>
          <w:szCs w:val="20"/>
          <w:lang w:val="en-US"/>
        </w:rPr>
        <w:t xml:space="preserve"> and</w:t>
      </w:r>
      <w:r w:rsidRPr="00EE2AEA">
        <w:rPr>
          <w:rFonts w:ascii="Verdana" w:hAnsi="Verdana" w:cs="Verdana"/>
          <w:sz w:val="20"/>
          <w:szCs w:val="20"/>
          <w:lang w:val="en-US"/>
        </w:rPr>
        <w:t xml:space="preserve"> Assurance Committee will test the Risk Appetite Statement and Matrix proposed annually to Council by the University Executive, and will monitor</w:t>
      </w:r>
      <w:r>
        <w:rPr>
          <w:rFonts w:ascii="Verdana" w:hAnsi="Verdana" w:cs="Verdana"/>
          <w:sz w:val="20"/>
          <w:szCs w:val="20"/>
          <w:lang w:val="en-US"/>
        </w:rPr>
        <w:t xml:space="preserve"> </w:t>
      </w:r>
      <w:r w:rsidRPr="00EE2AEA">
        <w:rPr>
          <w:rFonts w:ascii="Verdana" w:hAnsi="Verdana" w:cs="Verdana"/>
          <w:sz w:val="20"/>
          <w:szCs w:val="20"/>
          <w:lang w:val="en-US"/>
        </w:rPr>
        <w:t xml:space="preserve">and review the Risk Register at every meeting. In addition, the Audit, Risk and Assurance Committee will obtain both management and independent assurance of the adequacy and effectiveness of the risk management framework. </w:t>
      </w:r>
    </w:p>
    <w:p w:rsidR="00C47B3C" w:rsidRPr="00EE2AEA" w:rsidRDefault="00C47B3C" w:rsidP="00EE2AEA">
      <w:pPr>
        <w:pStyle w:val="Default"/>
        <w:rPr>
          <w:rFonts w:ascii="Verdana" w:hAnsi="Verdana" w:cs="Verdana"/>
          <w:sz w:val="20"/>
          <w:szCs w:val="20"/>
          <w:lang w:val="en-US"/>
        </w:rPr>
      </w:pPr>
    </w:p>
    <w:p w:rsidR="00EE2AEA" w:rsidRPr="00EE2AEA" w:rsidRDefault="00EE2AEA" w:rsidP="00254F59">
      <w:pPr>
        <w:autoSpaceDE w:val="0"/>
        <w:autoSpaceDN w:val="0"/>
        <w:adjustRightInd w:val="0"/>
        <w:spacing w:after="0" w:line="240" w:lineRule="auto"/>
        <w:ind w:left="709" w:hanging="709"/>
        <w:rPr>
          <w:rFonts w:ascii="Verdana" w:hAnsi="Verdana" w:cs="Verdana"/>
          <w:color w:val="000000"/>
          <w:sz w:val="20"/>
          <w:szCs w:val="20"/>
          <w:lang w:val="en-US"/>
        </w:rPr>
      </w:pPr>
      <w:r w:rsidRPr="00EE2AEA">
        <w:rPr>
          <w:rFonts w:ascii="Verdana" w:hAnsi="Verdana" w:cs="Verdana"/>
          <w:b/>
          <w:bCs/>
          <w:color w:val="000000"/>
          <w:sz w:val="20"/>
          <w:szCs w:val="20"/>
          <w:lang w:val="en-US"/>
        </w:rPr>
        <w:t xml:space="preserve">c. </w:t>
      </w:r>
      <w:r w:rsidR="00C47B3C">
        <w:rPr>
          <w:rFonts w:ascii="Verdana" w:hAnsi="Verdana" w:cs="Verdana"/>
          <w:b/>
          <w:bCs/>
          <w:color w:val="000000"/>
          <w:sz w:val="20"/>
          <w:szCs w:val="20"/>
          <w:lang w:val="en-US"/>
        </w:rPr>
        <w:tab/>
      </w:r>
      <w:r w:rsidRPr="00EE2AEA">
        <w:rPr>
          <w:rFonts w:ascii="Verdana" w:hAnsi="Verdana" w:cs="Verdana"/>
          <w:color w:val="000000"/>
          <w:sz w:val="20"/>
          <w:szCs w:val="20"/>
          <w:lang w:val="en-US"/>
        </w:rPr>
        <w:t xml:space="preserve">The University </w:t>
      </w:r>
      <w:r w:rsidR="00CE521B">
        <w:rPr>
          <w:rFonts w:ascii="Verdana" w:hAnsi="Verdana" w:cs="Verdana"/>
          <w:b/>
          <w:bCs/>
          <w:i/>
          <w:iCs/>
          <w:color w:val="000000"/>
          <w:sz w:val="20"/>
          <w:szCs w:val="20"/>
          <w:lang w:val="en-US"/>
        </w:rPr>
        <w:t xml:space="preserve">Pro Vice-Chancellors with responsibility for Faculties or Professional Services, Heads of Department </w:t>
      </w:r>
      <w:r w:rsidR="00CE521B" w:rsidRPr="00EE2AEA">
        <w:rPr>
          <w:rFonts w:ascii="Verdana" w:hAnsi="Verdana" w:cs="Verdana"/>
          <w:b/>
          <w:bCs/>
          <w:i/>
          <w:iCs/>
          <w:color w:val="000000"/>
          <w:sz w:val="20"/>
          <w:szCs w:val="20"/>
          <w:lang w:val="en-US"/>
        </w:rPr>
        <w:t xml:space="preserve"> </w:t>
      </w:r>
      <w:r w:rsidRPr="00EE2AEA">
        <w:rPr>
          <w:rFonts w:ascii="Verdana" w:hAnsi="Verdana" w:cs="Verdana"/>
          <w:b/>
          <w:bCs/>
          <w:i/>
          <w:iCs/>
          <w:color w:val="000000"/>
          <w:sz w:val="20"/>
          <w:szCs w:val="20"/>
          <w:lang w:val="en-US"/>
        </w:rPr>
        <w:t xml:space="preserve">and Heads of Professional Services </w:t>
      </w:r>
      <w:r w:rsidRPr="00EE2AEA">
        <w:rPr>
          <w:rFonts w:ascii="Verdana" w:hAnsi="Verdana" w:cs="Verdana"/>
          <w:color w:val="000000"/>
          <w:sz w:val="20"/>
          <w:szCs w:val="20"/>
          <w:lang w:val="en-US"/>
        </w:rPr>
        <w:t xml:space="preserve">will: </w:t>
      </w:r>
    </w:p>
    <w:p w:rsidR="00EE2AEA" w:rsidRPr="00EE2AEA" w:rsidRDefault="00EE2AEA" w:rsidP="00254F59">
      <w:pPr>
        <w:numPr>
          <w:ilvl w:val="0"/>
          <w:numId w:val="32"/>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Have primary responsibility for managing risk on a day-to-day basis within their specialist areas </w:t>
      </w:r>
    </w:p>
    <w:p w:rsidR="00EE2AEA" w:rsidRPr="00EE2AEA" w:rsidRDefault="00EE2AEA" w:rsidP="00254F59">
      <w:pPr>
        <w:numPr>
          <w:ilvl w:val="0"/>
          <w:numId w:val="32"/>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Have responsibility for promoting risk awareness within their operations; introduce risk management objectives into their areas of activity </w:t>
      </w:r>
    </w:p>
    <w:p w:rsidR="00EE2AEA" w:rsidRPr="00EE2AEA" w:rsidRDefault="00EE2AEA" w:rsidP="00254F59">
      <w:pPr>
        <w:numPr>
          <w:ilvl w:val="0"/>
          <w:numId w:val="32"/>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Identify and evaluate the significant risks faced by their operations for consideration by the University Executive, the Audit, Risk and Assurance Committee and Council </w:t>
      </w:r>
    </w:p>
    <w:p w:rsidR="00EE2AEA" w:rsidRPr="00EE2AEA" w:rsidRDefault="00C47B3C" w:rsidP="00254F59">
      <w:pPr>
        <w:numPr>
          <w:ilvl w:val="0"/>
          <w:numId w:val="32"/>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E</w:t>
      </w:r>
      <w:r w:rsidR="00EE2AEA" w:rsidRPr="00EE2AEA">
        <w:rPr>
          <w:rFonts w:ascii="Verdana" w:hAnsi="Verdana" w:cs="Verdana"/>
          <w:color w:val="000000"/>
          <w:sz w:val="20"/>
          <w:szCs w:val="20"/>
          <w:lang w:val="en-US"/>
        </w:rPr>
        <w:t xml:space="preserve">nsure that risk management is incorporated at the conceptual stage of projects as well as throughout a project </w:t>
      </w:r>
    </w:p>
    <w:p w:rsidR="00EE2AEA" w:rsidRPr="00EE2AEA" w:rsidRDefault="00EE2AEA" w:rsidP="00254F59">
      <w:pPr>
        <w:numPr>
          <w:ilvl w:val="0"/>
          <w:numId w:val="32"/>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Ensure that individual Departmental risk management and review is a regular management meeting item to allow consideration of exposure and to prioritize work in the light of effective risk analysis </w:t>
      </w:r>
    </w:p>
    <w:p w:rsidR="00EE2AEA" w:rsidRDefault="00EE2AEA" w:rsidP="00254F59">
      <w:pPr>
        <w:numPr>
          <w:ilvl w:val="0"/>
          <w:numId w:val="32"/>
        </w:numPr>
        <w:tabs>
          <w:tab w:val="left" w:pos="0"/>
        </w:tabs>
        <w:spacing w:after="120" w:line="240" w:lineRule="auto"/>
        <w:rPr>
          <w:rFonts w:ascii="Verdana" w:hAnsi="Verdana" w:cs="Arial"/>
          <w:sz w:val="20"/>
          <w:szCs w:val="20"/>
        </w:rPr>
      </w:pPr>
      <w:r w:rsidRPr="00EE2AEA">
        <w:rPr>
          <w:rFonts w:ascii="Verdana" w:hAnsi="Verdana" w:cs="Verdana"/>
          <w:color w:val="000000"/>
          <w:sz w:val="20"/>
          <w:szCs w:val="20"/>
          <w:lang w:val="en-US"/>
        </w:rPr>
        <w:t>Report early warning indicators to the University Executive</w:t>
      </w:r>
    </w:p>
    <w:p w:rsidR="00EE2AEA" w:rsidRPr="00EE2AEA" w:rsidRDefault="00EE2AEA" w:rsidP="00EE2AEA">
      <w:pPr>
        <w:autoSpaceDE w:val="0"/>
        <w:autoSpaceDN w:val="0"/>
        <w:adjustRightInd w:val="0"/>
        <w:spacing w:after="0" w:line="240" w:lineRule="auto"/>
        <w:rPr>
          <w:rFonts w:ascii="Verdana" w:hAnsi="Verdana" w:cs="Verdana"/>
          <w:color w:val="000000"/>
          <w:sz w:val="24"/>
          <w:szCs w:val="24"/>
          <w:lang w:val="en-US"/>
        </w:rPr>
      </w:pPr>
    </w:p>
    <w:p w:rsidR="00EE2AEA" w:rsidRPr="00EE2AEA" w:rsidRDefault="00EE2AEA" w:rsidP="00EE2AEA">
      <w:pPr>
        <w:numPr>
          <w:ilvl w:val="1"/>
          <w:numId w:val="30"/>
        </w:numPr>
        <w:autoSpaceDE w:val="0"/>
        <w:autoSpaceDN w:val="0"/>
        <w:adjustRightInd w:val="0"/>
        <w:spacing w:after="0" w:line="240" w:lineRule="auto"/>
        <w:rPr>
          <w:rFonts w:ascii="Verdana" w:hAnsi="Verdana" w:cs="Verdana"/>
          <w:color w:val="000000"/>
          <w:sz w:val="20"/>
          <w:szCs w:val="20"/>
          <w:lang w:val="en-US"/>
        </w:rPr>
      </w:pPr>
    </w:p>
    <w:p w:rsidR="00EE2AEA" w:rsidRPr="00EE2AEA" w:rsidRDefault="00EE2AEA" w:rsidP="00EE2AEA">
      <w:p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b/>
          <w:bCs/>
          <w:color w:val="000000"/>
          <w:sz w:val="20"/>
          <w:szCs w:val="20"/>
          <w:lang w:val="en-US"/>
        </w:rPr>
        <w:t xml:space="preserve">d. </w:t>
      </w:r>
      <w:r w:rsidRPr="00EE2AEA">
        <w:rPr>
          <w:rFonts w:ascii="Verdana" w:hAnsi="Verdana" w:cs="Verdana"/>
          <w:color w:val="000000"/>
          <w:sz w:val="20"/>
          <w:szCs w:val="20"/>
          <w:lang w:val="en-US"/>
        </w:rPr>
        <w:t xml:space="preserve">The </w:t>
      </w:r>
      <w:r w:rsidRPr="00EE2AEA">
        <w:rPr>
          <w:rFonts w:ascii="Verdana" w:hAnsi="Verdana" w:cs="Verdana"/>
          <w:b/>
          <w:bCs/>
          <w:i/>
          <w:iCs/>
          <w:color w:val="000000"/>
          <w:sz w:val="20"/>
          <w:szCs w:val="20"/>
          <w:lang w:val="en-US"/>
        </w:rPr>
        <w:t xml:space="preserve">Risk Management Champion </w:t>
      </w:r>
      <w:r w:rsidRPr="00EE2AEA">
        <w:rPr>
          <w:rFonts w:ascii="Verdana" w:hAnsi="Verdana" w:cs="Verdana"/>
          <w:color w:val="000000"/>
          <w:sz w:val="20"/>
          <w:szCs w:val="20"/>
          <w:lang w:val="en-US"/>
        </w:rPr>
        <w:t xml:space="preserve">is responsible for: </w:t>
      </w:r>
    </w:p>
    <w:p w:rsidR="00EE2AEA" w:rsidRDefault="00EE2AEA" w:rsidP="00254F59">
      <w:pPr>
        <w:numPr>
          <w:ilvl w:val="0"/>
          <w:numId w:val="33"/>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Developing specific programmes and procedures for establishing and maintaining risk management activities across the University </w:t>
      </w:r>
    </w:p>
    <w:p w:rsidR="00C47B3C" w:rsidRPr="00EE2AEA" w:rsidRDefault="00C47B3C" w:rsidP="00254F59">
      <w:pPr>
        <w:numPr>
          <w:ilvl w:val="0"/>
          <w:numId w:val="33"/>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Ensuring the dispersal of vital information</w:t>
      </w:r>
    </w:p>
    <w:p w:rsidR="00EE2AEA" w:rsidRPr="00EE2AEA" w:rsidRDefault="00EE2AEA" w:rsidP="00254F59">
      <w:pPr>
        <w:numPr>
          <w:ilvl w:val="0"/>
          <w:numId w:val="33"/>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Providing guidance, interpretation and understanding of the risk management systems and procedures </w:t>
      </w:r>
    </w:p>
    <w:p w:rsidR="00EE2AEA" w:rsidRDefault="00EE2AEA" w:rsidP="00254F59">
      <w:pPr>
        <w:numPr>
          <w:ilvl w:val="0"/>
          <w:numId w:val="33"/>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The Director of Finance and Corporate Services is the Executive Officer responsible for ensuring that risk management processes run efficiently and effectively in the University. Support in this role is provided by the Planning Department. The Head of Planning is the nominated Risk Management Champion. </w:t>
      </w:r>
    </w:p>
    <w:p w:rsidR="00C47B3C" w:rsidRPr="00EE2AEA" w:rsidRDefault="00C47B3C" w:rsidP="00EE2AEA">
      <w:pPr>
        <w:autoSpaceDE w:val="0"/>
        <w:autoSpaceDN w:val="0"/>
        <w:adjustRightInd w:val="0"/>
        <w:spacing w:after="0" w:line="240" w:lineRule="auto"/>
        <w:rPr>
          <w:rFonts w:ascii="Verdana" w:hAnsi="Verdana" w:cs="Verdana"/>
          <w:color w:val="000000"/>
          <w:sz w:val="20"/>
          <w:szCs w:val="20"/>
          <w:lang w:val="en-US"/>
        </w:rPr>
      </w:pPr>
    </w:p>
    <w:p w:rsidR="00EE2AEA" w:rsidRPr="00EE2AEA" w:rsidRDefault="00EE2AEA" w:rsidP="00EE2AEA">
      <w:p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b/>
          <w:bCs/>
          <w:color w:val="000000"/>
          <w:sz w:val="20"/>
          <w:szCs w:val="20"/>
          <w:lang w:val="en-US"/>
        </w:rPr>
        <w:t xml:space="preserve">e. Staff should: </w:t>
      </w:r>
    </w:p>
    <w:p w:rsidR="00C47B3C" w:rsidRDefault="00C47B3C" w:rsidP="00254F59">
      <w:pPr>
        <w:numPr>
          <w:ilvl w:val="0"/>
          <w:numId w:val="34"/>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Understand their accountability for individual risks</w:t>
      </w:r>
    </w:p>
    <w:p w:rsidR="00C47B3C" w:rsidRDefault="00C47B3C" w:rsidP="00254F59">
      <w:pPr>
        <w:numPr>
          <w:ilvl w:val="0"/>
          <w:numId w:val="34"/>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Understand that risk management and risk awareness are a key part of the University’s risk culture</w:t>
      </w:r>
    </w:p>
    <w:p w:rsidR="00C47B3C" w:rsidRDefault="00C47B3C" w:rsidP="00254F59">
      <w:pPr>
        <w:numPr>
          <w:ilvl w:val="0"/>
          <w:numId w:val="34"/>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Understand how they can enable continuous improvement of risk management response</w:t>
      </w:r>
    </w:p>
    <w:p w:rsidR="00EE2AEA" w:rsidRDefault="00EE2AEA" w:rsidP="00254F59">
      <w:pPr>
        <w:numPr>
          <w:ilvl w:val="0"/>
          <w:numId w:val="34"/>
        </w:numPr>
        <w:autoSpaceDE w:val="0"/>
        <w:autoSpaceDN w:val="0"/>
        <w:adjustRightInd w:val="0"/>
        <w:spacing w:after="0" w:line="240" w:lineRule="auto"/>
        <w:rPr>
          <w:rFonts w:ascii="Verdana" w:hAnsi="Verdana" w:cs="Verdana"/>
          <w:color w:val="000000"/>
          <w:sz w:val="20"/>
          <w:szCs w:val="20"/>
          <w:lang w:val="en-US"/>
        </w:rPr>
      </w:pPr>
      <w:r w:rsidRPr="00EE2AEA">
        <w:rPr>
          <w:rFonts w:ascii="Verdana" w:hAnsi="Verdana" w:cs="Verdana"/>
          <w:color w:val="000000"/>
          <w:sz w:val="20"/>
          <w:szCs w:val="20"/>
          <w:lang w:val="en-US"/>
        </w:rPr>
        <w:t xml:space="preserve">Report systematically and promptly to </w:t>
      </w:r>
      <w:r w:rsidR="00C47B3C">
        <w:rPr>
          <w:rFonts w:ascii="Verdana" w:hAnsi="Verdana" w:cs="Verdana"/>
          <w:color w:val="000000"/>
          <w:sz w:val="20"/>
          <w:szCs w:val="20"/>
          <w:lang w:val="en-US"/>
        </w:rPr>
        <w:t>senio</w:t>
      </w:r>
      <w:r w:rsidRPr="00EE2AEA">
        <w:rPr>
          <w:rFonts w:ascii="Verdana" w:hAnsi="Verdana" w:cs="Verdana"/>
          <w:color w:val="000000"/>
          <w:sz w:val="20"/>
          <w:szCs w:val="20"/>
          <w:lang w:val="en-US"/>
        </w:rPr>
        <w:t xml:space="preserve">r management any perceived new risks or failures of existing control measures </w:t>
      </w:r>
    </w:p>
    <w:p w:rsidR="00C47B3C" w:rsidRDefault="00C47B3C" w:rsidP="00EE2AEA">
      <w:pPr>
        <w:autoSpaceDE w:val="0"/>
        <w:autoSpaceDN w:val="0"/>
        <w:adjustRightInd w:val="0"/>
        <w:spacing w:after="0" w:line="240" w:lineRule="auto"/>
        <w:rPr>
          <w:rFonts w:ascii="Verdana" w:hAnsi="Verdana" w:cs="Verdana"/>
          <w:color w:val="000000"/>
          <w:sz w:val="20"/>
          <w:szCs w:val="20"/>
          <w:lang w:val="en-US"/>
        </w:rPr>
      </w:pPr>
    </w:p>
    <w:p w:rsidR="00C47B3C" w:rsidRPr="00254F59" w:rsidRDefault="00C47B3C" w:rsidP="00EE2AEA">
      <w:pPr>
        <w:autoSpaceDE w:val="0"/>
        <w:autoSpaceDN w:val="0"/>
        <w:adjustRightInd w:val="0"/>
        <w:spacing w:after="0" w:line="240" w:lineRule="auto"/>
        <w:rPr>
          <w:rFonts w:ascii="Verdana" w:hAnsi="Verdana" w:cs="Verdana"/>
          <w:b/>
          <w:color w:val="000000"/>
          <w:sz w:val="20"/>
          <w:szCs w:val="20"/>
          <w:lang w:val="en-US"/>
        </w:rPr>
      </w:pPr>
      <w:r>
        <w:rPr>
          <w:rFonts w:ascii="Verdana" w:hAnsi="Verdana" w:cs="Verdana"/>
          <w:b/>
          <w:color w:val="000000"/>
          <w:sz w:val="20"/>
          <w:szCs w:val="20"/>
          <w:lang w:val="en-US"/>
        </w:rPr>
        <w:t>f. Online assistance</w:t>
      </w:r>
    </w:p>
    <w:p w:rsidR="00EE2AEA" w:rsidRDefault="00EE2AEA" w:rsidP="00EE2AEA">
      <w:pPr>
        <w:tabs>
          <w:tab w:val="left" w:pos="0"/>
        </w:tabs>
        <w:spacing w:after="120" w:line="240" w:lineRule="auto"/>
        <w:rPr>
          <w:rFonts w:ascii="Verdana" w:hAnsi="Verdana" w:cs="Arial"/>
          <w:sz w:val="20"/>
          <w:szCs w:val="20"/>
        </w:rPr>
      </w:pPr>
      <w:r w:rsidRPr="00EE2AEA">
        <w:rPr>
          <w:rFonts w:ascii="Verdana" w:hAnsi="Verdana" w:cs="Verdana"/>
          <w:color w:val="000000"/>
          <w:sz w:val="20"/>
          <w:szCs w:val="20"/>
          <w:lang w:val="en-US"/>
        </w:rPr>
        <w:t>Online assistance (copies of this guidance etc.) can be found at: http://www.aber.ac.uk/en/pag/planning/risk-management/</w:t>
      </w:r>
    </w:p>
    <w:p w:rsidR="00EE2AEA" w:rsidRDefault="00EE2AEA" w:rsidP="00EE2AEA">
      <w:pPr>
        <w:tabs>
          <w:tab w:val="left" w:pos="0"/>
        </w:tabs>
        <w:spacing w:after="120" w:line="240" w:lineRule="auto"/>
        <w:rPr>
          <w:rFonts w:ascii="Verdana" w:hAnsi="Verdana" w:cs="Arial"/>
          <w:sz w:val="20"/>
          <w:szCs w:val="20"/>
        </w:rPr>
      </w:pPr>
    </w:p>
    <w:p w:rsidR="002B1FDD" w:rsidRPr="002B1FDD" w:rsidRDefault="002B1FDD" w:rsidP="002B1FDD">
      <w:pPr>
        <w:numPr>
          <w:ilvl w:val="0"/>
          <w:numId w:val="15"/>
        </w:numPr>
        <w:spacing w:after="0" w:line="240" w:lineRule="auto"/>
        <w:ind w:left="426" w:hanging="426"/>
        <w:rPr>
          <w:rFonts w:ascii="Verdana" w:hAnsi="Verdana" w:cs="Arial"/>
          <w:sz w:val="20"/>
          <w:szCs w:val="20"/>
        </w:rPr>
      </w:pPr>
      <w:r w:rsidRPr="002B1FDD">
        <w:rPr>
          <w:rFonts w:ascii="Verdana" w:hAnsi="Verdana" w:cs="Arial"/>
          <w:b/>
          <w:sz w:val="20"/>
          <w:szCs w:val="20"/>
        </w:rPr>
        <w:t>The Risk Register</w:t>
      </w:r>
    </w:p>
    <w:p w:rsidR="002B1FDD" w:rsidRPr="002B1FDD" w:rsidRDefault="002B1FDD" w:rsidP="002B1FDD">
      <w:pPr>
        <w:spacing w:after="0" w:line="240" w:lineRule="auto"/>
        <w:ind w:left="1440" w:hanging="1440"/>
        <w:rPr>
          <w:rFonts w:ascii="Verdana" w:hAnsi="Verdana" w:cs="Arial"/>
          <w:b/>
          <w:sz w:val="20"/>
          <w:szCs w:val="20"/>
        </w:rPr>
      </w:pPr>
    </w:p>
    <w:p w:rsidR="00DD7849" w:rsidRPr="00DD7849" w:rsidRDefault="00DD7849" w:rsidP="00DD7849">
      <w:pPr>
        <w:autoSpaceDE w:val="0"/>
        <w:autoSpaceDN w:val="0"/>
        <w:adjustRightInd w:val="0"/>
        <w:spacing w:after="0" w:line="240" w:lineRule="auto"/>
        <w:rPr>
          <w:rFonts w:ascii="Verdana" w:hAnsi="Verdana" w:cs="Verdana"/>
          <w:color w:val="000000"/>
          <w:sz w:val="20"/>
          <w:szCs w:val="20"/>
          <w:lang w:val="en-US"/>
        </w:rPr>
      </w:pPr>
      <w:r w:rsidRPr="00DD7849">
        <w:rPr>
          <w:rFonts w:ascii="Verdana" w:hAnsi="Verdana" w:cs="Verdana"/>
          <w:color w:val="000000"/>
          <w:sz w:val="20"/>
          <w:szCs w:val="20"/>
          <w:lang w:val="en-US"/>
        </w:rPr>
        <w:t xml:space="preserve">The Institute of Risk Management (IRM) has produced a Risk Management Standard that defines a number of steps in the risk management process. Briefly, these can be summarized as follows: </w:t>
      </w:r>
    </w:p>
    <w:p w:rsidR="00DD7849" w:rsidRDefault="00DD7849" w:rsidP="00DD7849">
      <w:pPr>
        <w:autoSpaceDE w:val="0"/>
        <w:autoSpaceDN w:val="0"/>
        <w:adjustRightInd w:val="0"/>
        <w:spacing w:after="0" w:line="240" w:lineRule="auto"/>
        <w:rPr>
          <w:rFonts w:ascii="Verdana" w:hAnsi="Verdana"/>
          <w:sz w:val="24"/>
          <w:szCs w:val="24"/>
          <w:lang w:val="en-US"/>
        </w:rPr>
      </w:pPr>
    </w:p>
    <w:p w:rsidR="00DD7849" w:rsidRDefault="00DD7849" w:rsidP="00DD7849">
      <w:pPr>
        <w:autoSpaceDE w:val="0"/>
        <w:autoSpaceDN w:val="0"/>
        <w:adjustRightInd w:val="0"/>
        <w:spacing w:after="0" w:line="240" w:lineRule="auto"/>
        <w:rPr>
          <w:rFonts w:ascii="Verdana" w:hAnsi="Verdana"/>
          <w:sz w:val="24"/>
          <w:szCs w:val="24"/>
          <w:lang w:val="en-US"/>
        </w:rPr>
      </w:pPr>
      <w:r w:rsidRPr="00DD7849">
        <w:rPr>
          <w:rFonts w:ascii="Verdana" w:hAnsi="Verdana"/>
          <w:noProof/>
          <w:sz w:val="24"/>
          <w:szCs w:val="24"/>
          <w:lang w:val="en-US"/>
        </w:rPr>
        <w:lastRenderedPageBreak/>
        <w:drawing>
          <wp:inline distT="0" distB="0" distL="0" distR="0" wp14:anchorId="1FDFB3BD" wp14:editId="4DAA26BA">
            <wp:extent cx="3088640" cy="23185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96131" cy="2324130"/>
                    </a:xfrm>
                    <a:prstGeom prst="rect">
                      <a:avLst/>
                    </a:prstGeom>
                  </pic:spPr>
                </pic:pic>
              </a:graphicData>
            </a:graphic>
          </wp:inline>
        </w:drawing>
      </w:r>
    </w:p>
    <w:p w:rsidR="00DD7849" w:rsidRPr="00DD7849" w:rsidRDefault="00DD7849" w:rsidP="00DD7849">
      <w:pPr>
        <w:autoSpaceDE w:val="0"/>
        <w:autoSpaceDN w:val="0"/>
        <w:adjustRightInd w:val="0"/>
        <w:spacing w:after="0" w:line="240" w:lineRule="auto"/>
        <w:rPr>
          <w:rFonts w:ascii="Verdana" w:hAnsi="Verdana"/>
          <w:sz w:val="24"/>
          <w:szCs w:val="24"/>
          <w:lang w:val="en-US"/>
        </w:rPr>
      </w:pPr>
    </w:p>
    <w:p w:rsidR="00DD7849" w:rsidRDefault="00DD7849" w:rsidP="00DD7849">
      <w:pPr>
        <w:spacing w:after="0" w:line="240" w:lineRule="auto"/>
        <w:jc w:val="both"/>
        <w:rPr>
          <w:rFonts w:ascii="Verdana" w:hAnsi="Verdana"/>
          <w:sz w:val="20"/>
          <w:szCs w:val="20"/>
          <w:lang w:val="en-US"/>
        </w:rPr>
      </w:pPr>
      <w:r w:rsidRPr="00DD7849">
        <w:rPr>
          <w:rFonts w:ascii="Verdana" w:hAnsi="Verdana"/>
          <w:sz w:val="20"/>
          <w:szCs w:val="20"/>
          <w:lang w:val="en-US"/>
        </w:rPr>
        <w:t>Each of these steps will be considered in the paragraphs below</w:t>
      </w:r>
      <w:r w:rsidR="00254F59">
        <w:rPr>
          <w:rFonts w:ascii="Verdana" w:hAnsi="Verdana"/>
          <w:sz w:val="20"/>
          <w:szCs w:val="20"/>
          <w:lang w:val="en-US"/>
        </w:rPr>
        <w:t xml:space="preserve"> and are reflected in the processes embedded in the University’s online Risk Management </w:t>
      </w:r>
      <w:r w:rsidR="00F02759">
        <w:rPr>
          <w:rFonts w:ascii="Verdana" w:hAnsi="Verdana"/>
          <w:sz w:val="20"/>
          <w:szCs w:val="20"/>
          <w:lang w:val="en-US"/>
        </w:rPr>
        <w:t>system</w:t>
      </w:r>
      <w:r w:rsidR="00254F59">
        <w:rPr>
          <w:rFonts w:ascii="Verdana" w:hAnsi="Verdana"/>
          <w:sz w:val="20"/>
          <w:szCs w:val="20"/>
          <w:lang w:val="en-US"/>
        </w:rPr>
        <w:t>.</w:t>
      </w:r>
    </w:p>
    <w:p w:rsidR="00DD7849" w:rsidRDefault="00DD7849" w:rsidP="00DD7849">
      <w:pPr>
        <w:spacing w:after="0" w:line="240" w:lineRule="auto"/>
        <w:jc w:val="both"/>
        <w:rPr>
          <w:rFonts w:ascii="Verdana" w:hAnsi="Verdana" w:cs="Arial"/>
          <w:sz w:val="20"/>
          <w:szCs w:val="20"/>
        </w:rPr>
      </w:pPr>
    </w:p>
    <w:p w:rsidR="00DD7849" w:rsidRDefault="00DD7849" w:rsidP="00DD7849">
      <w:pPr>
        <w:spacing w:after="0" w:line="240" w:lineRule="auto"/>
        <w:jc w:val="both"/>
        <w:rPr>
          <w:rFonts w:ascii="Verdana" w:hAnsi="Verdana" w:cs="Arial"/>
          <w:sz w:val="20"/>
          <w:szCs w:val="20"/>
        </w:rPr>
      </w:pPr>
    </w:p>
    <w:p w:rsidR="00DD7849" w:rsidRDefault="00DD7849" w:rsidP="00254F59">
      <w:pPr>
        <w:spacing w:after="0" w:line="240" w:lineRule="auto"/>
        <w:jc w:val="both"/>
        <w:rPr>
          <w:rFonts w:ascii="Verdana" w:hAnsi="Verdana" w:cs="Arial"/>
          <w:b/>
          <w:sz w:val="20"/>
          <w:szCs w:val="20"/>
        </w:rPr>
      </w:pPr>
      <w:r>
        <w:rPr>
          <w:rFonts w:ascii="Verdana" w:hAnsi="Verdana" w:cs="Arial"/>
          <w:b/>
          <w:sz w:val="20"/>
          <w:szCs w:val="20"/>
        </w:rPr>
        <w:t xml:space="preserve">5. </w:t>
      </w:r>
      <w:r w:rsidRPr="00254F59">
        <w:rPr>
          <w:rFonts w:ascii="Verdana" w:hAnsi="Verdana" w:cs="Arial"/>
          <w:b/>
          <w:sz w:val="20"/>
          <w:szCs w:val="20"/>
        </w:rPr>
        <w:t xml:space="preserve">Risk Identification </w:t>
      </w:r>
    </w:p>
    <w:p w:rsidR="00DD7849" w:rsidRPr="00254F59" w:rsidRDefault="00DD7849" w:rsidP="00254F59">
      <w:pPr>
        <w:spacing w:after="0" w:line="240" w:lineRule="auto"/>
        <w:ind w:left="360"/>
        <w:jc w:val="both"/>
        <w:rPr>
          <w:rFonts w:ascii="Verdana" w:hAnsi="Verdana" w:cs="Arial"/>
          <w:b/>
          <w:sz w:val="20"/>
          <w:szCs w:val="20"/>
        </w:rPr>
      </w:pPr>
    </w:p>
    <w:p w:rsidR="00DD7849" w:rsidRDefault="00DD7849" w:rsidP="00254F59">
      <w:pPr>
        <w:autoSpaceDE w:val="0"/>
        <w:autoSpaceDN w:val="0"/>
        <w:adjustRightInd w:val="0"/>
        <w:spacing w:after="0" w:line="240" w:lineRule="auto"/>
        <w:rPr>
          <w:rFonts w:ascii="Verdana" w:hAnsi="Verdana" w:cs="Verdana"/>
          <w:color w:val="000000"/>
          <w:sz w:val="20"/>
          <w:szCs w:val="20"/>
          <w:lang w:val="en-US"/>
        </w:rPr>
      </w:pPr>
      <w:r w:rsidRPr="00DD7849">
        <w:rPr>
          <w:rFonts w:ascii="Verdana" w:hAnsi="Verdana" w:cs="Verdana"/>
          <w:color w:val="000000"/>
          <w:sz w:val="20"/>
          <w:szCs w:val="20"/>
          <w:lang w:val="en-US"/>
        </w:rPr>
        <w:t>Risk identification should be approached in a methodical way to ensure that all significant activities within the organisation have been identified and all the risks flowing from these activities defined.</w:t>
      </w:r>
    </w:p>
    <w:p w:rsidR="00DD7849" w:rsidRPr="00DD7849" w:rsidRDefault="00DD7849" w:rsidP="00254F59">
      <w:pPr>
        <w:autoSpaceDE w:val="0"/>
        <w:autoSpaceDN w:val="0"/>
        <w:adjustRightInd w:val="0"/>
        <w:spacing w:after="0" w:line="240" w:lineRule="auto"/>
        <w:ind w:left="720"/>
        <w:rPr>
          <w:rFonts w:ascii="Verdana" w:hAnsi="Verdana" w:cs="Verdana"/>
          <w:color w:val="000000"/>
          <w:sz w:val="20"/>
          <w:szCs w:val="20"/>
          <w:lang w:val="en-US"/>
        </w:rPr>
      </w:pPr>
      <w:r w:rsidRPr="00DD7849">
        <w:rPr>
          <w:rFonts w:ascii="Verdana" w:hAnsi="Verdana" w:cs="Verdana"/>
          <w:color w:val="000000"/>
          <w:sz w:val="20"/>
          <w:szCs w:val="20"/>
          <w:lang w:val="en-US"/>
        </w:rPr>
        <w:t xml:space="preserve"> </w:t>
      </w:r>
    </w:p>
    <w:p w:rsidR="00DD7849" w:rsidRDefault="00DD7849" w:rsidP="00254F59">
      <w:pPr>
        <w:autoSpaceDE w:val="0"/>
        <w:autoSpaceDN w:val="0"/>
        <w:adjustRightInd w:val="0"/>
        <w:spacing w:after="0" w:line="240" w:lineRule="auto"/>
        <w:rPr>
          <w:rFonts w:ascii="Verdana" w:hAnsi="Verdana" w:cs="Verdana"/>
          <w:color w:val="000000"/>
          <w:sz w:val="20"/>
          <w:szCs w:val="20"/>
          <w:lang w:val="en-US"/>
        </w:rPr>
      </w:pPr>
      <w:r w:rsidRPr="00DD7849">
        <w:rPr>
          <w:rFonts w:ascii="Verdana" w:hAnsi="Verdana" w:cs="Verdana"/>
          <w:color w:val="000000"/>
          <w:sz w:val="20"/>
          <w:szCs w:val="20"/>
          <w:lang w:val="en-US"/>
        </w:rPr>
        <w:t xml:space="preserve">All areas of activity within the University and partnerships with third party organisations should be considered together with what would stop them being as successful as they should. The key risks that the University faces will be those that would stop it achieving its objectives in these areas. </w:t>
      </w:r>
    </w:p>
    <w:p w:rsidR="00DD7849" w:rsidRPr="00DD7849" w:rsidRDefault="00DD7849" w:rsidP="00254F59">
      <w:pPr>
        <w:autoSpaceDE w:val="0"/>
        <w:autoSpaceDN w:val="0"/>
        <w:adjustRightInd w:val="0"/>
        <w:spacing w:after="0" w:line="240" w:lineRule="auto"/>
        <w:ind w:left="720"/>
        <w:rPr>
          <w:rFonts w:ascii="Verdana" w:hAnsi="Verdana" w:cs="Verdana"/>
          <w:color w:val="000000"/>
          <w:sz w:val="20"/>
          <w:szCs w:val="20"/>
          <w:lang w:val="en-US"/>
        </w:rPr>
      </w:pPr>
    </w:p>
    <w:p w:rsidR="00DD7849" w:rsidRDefault="00DD7849" w:rsidP="00254F59">
      <w:p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 xml:space="preserve">Risk management processes are aligned to the University’s Strategic Aims as stated in the University’s </w:t>
      </w:r>
      <w:r w:rsidRPr="00DD7849">
        <w:rPr>
          <w:rFonts w:ascii="Verdana" w:hAnsi="Verdana" w:cs="Verdana"/>
          <w:color w:val="000000"/>
          <w:sz w:val="20"/>
          <w:szCs w:val="20"/>
          <w:lang w:val="en-US"/>
        </w:rPr>
        <w:t xml:space="preserve">Strategic Plan which is available at http://www.aber.ac.uk/en/strategicplan/ . At </w:t>
      </w:r>
      <w:bookmarkStart w:id="0" w:name="_GoBack"/>
      <w:bookmarkEnd w:id="0"/>
      <w:r w:rsidRPr="00DD7849">
        <w:rPr>
          <w:rFonts w:ascii="Verdana" w:hAnsi="Verdana" w:cs="Verdana"/>
          <w:color w:val="000000"/>
          <w:sz w:val="20"/>
          <w:szCs w:val="20"/>
          <w:lang w:val="en-US"/>
        </w:rPr>
        <w:t xml:space="preserve"> Departmental level you may also be looking at high-level operational risks; and the University risk register also considers a set of key operational risks. </w:t>
      </w:r>
    </w:p>
    <w:p w:rsidR="00DD7849" w:rsidRPr="00DD7849" w:rsidRDefault="00DD7849" w:rsidP="00254F59">
      <w:pPr>
        <w:autoSpaceDE w:val="0"/>
        <w:autoSpaceDN w:val="0"/>
        <w:adjustRightInd w:val="0"/>
        <w:spacing w:after="0" w:line="240" w:lineRule="auto"/>
        <w:ind w:left="720"/>
        <w:rPr>
          <w:rFonts w:ascii="Verdana" w:hAnsi="Verdana" w:cs="Verdana"/>
          <w:color w:val="000000"/>
          <w:sz w:val="20"/>
          <w:szCs w:val="20"/>
          <w:lang w:val="en-US"/>
        </w:rPr>
      </w:pPr>
    </w:p>
    <w:p w:rsidR="00DD7849" w:rsidRDefault="00DD7849" w:rsidP="00254F59">
      <w:pPr>
        <w:spacing w:after="0" w:line="240" w:lineRule="auto"/>
        <w:jc w:val="both"/>
        <w:rPr>
          <w:rFonts w:ascii="Verdana" w:hAnsi="Verdana" w:cs="Arial"/>
          <w:sz w:val="20"/>
          <w:szCs w:val="20"/>
        </w:rPr>
      </w:pPr>
      <w:r w:rsidRPr="00DD7849">
        <w:rPr>
          <w:rFonts w:ascii="Verdana" w:hAnsi="Verdana" w:cs="Verdana"/>
          <w:color w:val="000000"/>
          <w:sz w:val="20"/>
          <w:szCs w:val="20"/>
          <w:lang w:val="en-US"/>
        </w:rPr>
        <w:t>To facilitate the identification of risks, strategic and local objectives should be continually communicated and kept in the forefront of daily activity. This way, it is easier to identify the uncertainties associated with achieving your</w:t>
      </w:r>
      <w:r>
        <w:rPr>
          <w:rFonts w:ascii="Verdana" w:hAnsi="Verdana" w:cs="Verdana"/>
          <w:color w:val="000000"/>
          <w:sz w:val="20"/>
          <w:szCs w:val="20"/>
          <w:lang w:val="en-US"/>
        </w:rPr>
        <w:t xml:space="preserve"> objectives. Use a “cast a wide net” approach to identify </w:t>
      </w:r>
      <w:r w:rsidRPr="00DD7849">
        <w:rPr>
          <w:rFonts w:ascii="Verdana" w:hAnsi="Verdana" w:cs="Verdana"/>
          <w:color w:val="000000"/>
          <w:sz w:val="20"/>
          <w:szCs w:val="20"/>
          <w:lang w:val="en-US"/>
        </w:rPr>
        <w:t xml:space="preserve"> a broad spectrum of risks and invite multiple and diverse views.</w:t>
      </w:r>
    </w:p>
    <w:p w:rsidR="00DD7849" w:rsidRDefault="00DD7849" w:rsidP="00DD7849">
      <w:pPr>
        <w:spacing w:after="0" w:line="240" w:lineRule="auto"/>
        <w:jc w:val="both"/>
        <w:rPr>
          <w:rFonts w:ascii="Verdana" w:hAnsi="Verdana" w:cs="Arial"/>
          <w:sz w:val="20"/>
          <w:szCs w:val="20"/>
        </w:rPr>
      </w:pPr>
    </w:p>
    <w:p w:rsidR="00DD7849" w:rsidRPr="00254F59" w:rsidRDefault="00DD7849" w:rsidP="00DD7849">
      <w:pPr>
        <w:spacing w:after="0" w:line="240" w:lineRule="auto"/>
        <w:jc w:val="both"/>
        <w:rPr>
          <w:rFonts w:ascii="Verdana" w:hAnsi="Verdana" w:cs="Arial"/>
          <w:b/>
          <w:sz w:val="20"/>
          <w:szCs w:val="20"/>
        </w:rPr>
      </w:pPr>
      <w:r w:rsidRPr="00254F59">
        <w:rPr>
          <w:rFonts w:ascii="Verdana" w:hAnsi="Verdana" w:cs="Arial"/>
          <w:b/>
          <w:sz w:val="20"/>
          <w:szCs w:val="20"/>
        </w:rPr>
        <w:t>6. Risk Capture</w:t>
      </w:r>
    </w:p>
    <w:p w:rsidR="00DD7849" w:rsidRDefault="00DD7849" w:rsidP="00DD7849">
      <w:pPr>
        <w:spacing w:after="0" w:line="240" w:lineRule="auto"/>
        <w:jc w:val="both"/>
        <w:rPr>
          <w:rFonts w:ascii="Verdana" w:hAnsi="Verdana" w:cs="Arial"/>
          <w:sz w:val="20"/>
          <w:szCs w:val="20"/>
        </w:rPr>
      </w:pPr>
    </w:p>
    <w:p w:rsidR="00DD7849" w:rsidRPr="00DD7849" w:rsidRDefault="00DD7849" w:rsidP="00DD7849">
      <w:pPr>
        <w:autoSpaceDE w:val="0"/>
        <w:autoSpaceDN w:val="0"/>
        <w:adjustRightInd w:val="0"/>
        <w:spacing w:after="0" w:line="240" w:lineRule="auto"/>
        <w:rPr>
          <w:rFonts w:ascii="Verdana" w:hAnsi="Verdana" w:cs="Verdana"/>
          <w:color w:val="000000"/>
          <w:sz w:val="20"/>
          <w:szCs w:val="20"/>
          <w:lang w:val="en-US"/>
        </w:rPr>
      </w:pPr>
      <w:r w:rsidRPr="00DD7849">
        <w:rPr>
          <w:rFonts w:ascii="Verdana" w:hAnsi="Verdana" w:cs="Verdana"/>
          <w:color w:val="000000"/>
          <w:sz w:val="20"/>
          <w:szCs w:val="20"/>
          <w:lang w:val="en-US"/>
        </w:rPr>
        <w:t xml:space="preserve">The objective of the recording and description of risks is to capture and record the identified risks in a structured format for evaluation and monitoring of risk mitigation actions. </w:t>
      </w:r>
    </w:p>
    <w:p w:rsidR="00DD7849" w:rsidRDefault="00DD7849" w:rsidP="00DD7849">
      <w:pPr>
        <w:autoSpaceDE w:val="0"/>
        <w:autoSpaceDN w:val="0"/>
        <w:adjustRightInd w:val="0"/>
        <w:spacing w:after="0" w:line="240" w:lineRule="auto"/>
        <w:rPr>
          <w:rFonts w:ascii="Verdana" w:hAnsi="Verdana" w:cs="Verdana"/>
          <w:i/>
          <w:iCs/>
          <w:color w:val="000000"/>
          <w:sz w:val="20"/>
          <w:szCs w:val="20"/>
          <w:lang w:val="en-US"/>
        </w:rPr>
      </w:pPr>
      <w:r w:rsidRPr="00DD7849">
        <w:rPr>
          <w:rFonts w:ascii="Verdana" w:hAnsi="Verdana" w:cs="Verdana"/>
          <w:i/>
          <w:iCs/>
          <w:color w:val="000000"/>
          <w:sz w:val="20"/>
          <w:szCs w:val="20"/>
          <w:lang w:val="en-US"/>
        </w:rPr>
        <w:t xml:space="preserve">Risk Registers </w:t>
      </w:r>
    </w:p>
    <w:p w:rsidR="00DD7849" w:rsidRPr="00DD7849" w:rsidRDefault="00DD7849" w:rsidP="00DD7849">
      <w:pPr>
        <w:autoSpaceDE w:val="0"/>
        <w:autoSpaceDN w:val="0"/>
        <w:adjustRightInd w:val="0"/>
        <w:spacing w:after="0" w:line="240" w:lineRule="auto"/>
        <w:rPr>
          <w:rFonts w:ascii="Verdana" w:hAnsi="Verdana" w:cs="Verdana"/>
          <w:color w:val="000000"/>
          <w:sz w:val="20"/>
          <w:szCs w:val="20"/>
          <w:lang w:val="en-US"/>
        </w:rPr>
      </w:pPr>
    </w:p>
    <w:p w:rsidR="00254F59" w:rsidRDefault="00DD7849" w:rsidP="00DD7849">
      <w:pPr>
        <w:autoSpaceDE w:val="0"/>
        <w:autoSpaceDN w:val="0"/>
        <w:adjustRightInd w:val="0"/>
        <w:spacing w:after="0" w:line="240" w:lineRule="auto"/>
        <w:rPr>
          <w:rFonts w:ascii="Verdana" w:hAnsi="Verdana" w:cs="Verdana"/>
          <w:color w:val="000000"/>
          <w:sz w:val="20"/>
          <w:szCs w:val="20"/>
          <w:lang w:val="en-US"/>
        </w:rPr>
      </w:pPr>
      <w:r w:rsidRPr="00DD7849">
        <w:rPr>
          <w:rFonts w:ascii="Verdana" w:hAnsi="Verdana" w:cs="Verdana"/>
          <w:color w:val="000000"/>
          <w:sz w:val="20"/>
          <w:szCs w:val="20"/>
          <w:lang w:val="en-US"/>
        </w:rPr>
        <w:t>To support the Risk Management process, the University has a standard format for documenting identified risks and the controls in place to reduce these risks through the development of Risk</w:t>
      </w:r>
      <w:r>
        <w:rPr>
          <w:rFonts w:ascii="Verdana" w:hAnsi="Verdana" w:cs="Verdana"/>
          <w:color w:val="000000"/>
          <w:sz w:val="20"/>
          <w:szCs w:val="20"/>
          <w:lang w:val="en-US"/>
        </w:rPr>
        <w:t xml:space="preserve"> </w:t>
      </w:r>
      <w:r w:rsidRPr="00DD7849">
        <w:rPr>
          <w:rFonts w:ascii="Verdana" w:hAnsi="Verdana" w:cs="Verdana"/>
          <w:color w:val="000000"/>
          <w:sz w:val="20"/>
          <w:szCs w:val="20"/>
          <w:lang w:val="en-US"/>
        </w:rPr>
        <w:t>Registers, which are held in a common format both at corporate and local (academic and service department) level</w:t>
      </w:r>
      <w:r w:rsidR="00F02759">
        <w:rPr>
          <w:rFonts w:ascii="Verdana" w:hAnsi="Verdana" w:cs="Verdana"/>
          <w:color w:val="000000"/>
          <w:sz w:val="20"/>
          <w:szCs w:val="20"/>
          <w:lang w:val="en-US"/>
        </w:rPr>
        <w:t xml:space="preserve"> on the University’s online Risk Management system. </w:t>
      </w:r>
      <w:r w:rsidRPr="00DD7849">
        <w:rPr>
          <w:rFonts w:ascii="Verdana" w:hAnsi="Verdana" w:cs="Verdana"/>
          <w:color w:val="000000"/>
          <w:sz w:val="20"/>
          <w:szCs w:val="20"/>
          <w:lang w:val="en-US"/>
        </w:rPr>
        <w:t xml:space="preserve"> </w:t>
      </w:r>
    </w:p>
    <w:p w:rsidR="00254F59" w:rsidRDefault="00254F59" w:rsidP="00DD7849">
      <w:pPr>
        <w:autoSpaceDE w:val="0"/>
        <w:autoSpaceDN w:val="0"/>
        <w:adjustRightInd w:val="0"/>
        <w:spacing w:after="0" w:line="240" w:lineRule="auto"/>
        <w:rPr>
          <w:rFonts w:ascii="Verdana" w:hAnsi="Verdana" w:cs="Verdana"/>
          <w:color w:val="000000"/>
          <w:sz w:val="20"/>
          <w:szCs w:val="20"/>
          <w:lang w:val="en-US"/>
        </w:rPr>
      </w:pPr>
    </w:p>
    <w:p w:rsidR="00DD7849" w:rsidRDefault="00DD7849" w:rsidP="00DD7849">
      <w:pPr>
        <w:autoSpaceDE w:val="0"/>
        <w:autoSpaceDN w:val="0"/>
        <w:adjustRightInd w:val="0"/>
        <w:spacing w:after="0" w:line="240" w:lineRule="auto"/>
        <w:rPr>
          <w:rFonts w:ascii="Verdana" w:hAnsi="Verdana" w:cs="Verdana"/>
          <w:color w:val="000000"/>
          <w:sz w:val="20"/>
          <w:szCs w:val="20"/>
          <w:lang w:val="en-US"/>
        </w:rPr>
      </w:pPr>
      <w:r w:rsidRPr="00DD7849">
        <w:rPr>
          <w:rFonts w:ascii="Verdana" w:hAnsi="Verdana" w:cs="Verdana"/>
          <w:color w:val="000000"/>
          <w:sz w:val="20"/>
          <w:szCs w:val="20"/>
          <w:lang w:val="en-US"/>
        </w:rPr>
        <w:t xml:space="preserve">A blank template </w:t>
      </w:r>
      <w:r w:rsidR="00F02759">
        <w:rPr>
          <w:rFonts w:ascii="Verdana" w:hAnsi="Verdana" w:cs="Verdana"/>
          <w:color w:val="000000"/>
          <w:sz w:val="20"/>
          <w:szCs w:val="20"/>
          <w:lang w:val="en-US"/>
        </w:rPr>
        <w:t xml:space="preserve">detailing the elements of a </w:t>
      </w:r>
      <w:r w:rsidRPr="00DD7849">
        <w:rPr>
          <w:rFonts w:ascii="Verdana" w:hAnsi="Verdana" w:cs="Verdana"/>
          <w:color w:val="000000"/>
          <w:sz w:val="20"/>
          <w:szCs w:val="20"/>
          <w:lang w:val="en-US"/>
        </w:rPr>
        <w:t xml:space="preserve">Risk Register is provided at Appendix B. </w:t>
      </w:r>
      <w:r w:rsidR="00F02759">
        <w:rPr>
          <w:rFonts w:ascii="Verdana" w:hAnsi="Verdana" w:cs="Verdana"/>
          <w:color w:val="000000"/>
          <w:sz w:val="20"/>
          <w:szCs w:val="20"/>
          <w:lang w:val="en-US"/>
        </w:rPr>
        <w:t xml:space="preserve">This may be of use when designing a new risk register prior to entering it onto the online system. Additionally, there are some risk registers which it may be more practical to keep at local level (e.g. for small, low level and temporary projects and tasks as opposed to department level registers and University Major Projects). </w:t>
      </w:r>
      <w:r w:rsidRPr="00DD7849">
        <w:rPr>
          <w:rFonts w:ascii="Verdana" w:hAnsi="Verdana" w:cs="Verdana"/>
          <w:color w:val="000000"/>
          <w:sz w:val="20"/>
          <w:szCs w:val="20"/>
          <w:lang w:val="en-US"/>
        </w:rPr>
        <w:t xml:space="preserve">Only practical, relevant and meaningful information should ideally be included in the Register. </w:t>
      </w:r>
    </w:p>
    <w:p w:rsidR="00DD7849" w:rsidRPr="00DD7849" w:rsidRDefault="00DD7849" w:rsidP="00DD7849">
      <w:pPr>
        <w:autoSpaceDE w:val="0"/>
        <w:autoSpaceDN w:val="0"/>
        <w:adjustRightInd w:val="0"/>
        <w:spacing w:after="0" w:line="240" w:lineRule="auto"/>
        <w:rPr>
          <w:rFonts w:ascii="Verdana" w:hAnsi="Verdana" w:cs="Verdana"/>
          <w:color w:val="000000"/>
          <w:sz w:val="20"/>
          <w:szCs w:val="20"/>
          <w:lang w:val="en-US"/>
        </w:rPr>
      </w:pPr>
    </w:p>
    <w:p w:rsidR="00DD7849" w:rsidRDefault="00DD7849" w:rsidP="00DD7849">
      <w:pPr>
        <w:autoSpaceDE w:val="0"/>
        <w:autoSpaceDN w:val="0"/>
        <w:adjustRightInd w:val="0"/>
        <w:spacing w:after="0" w:line="240" w:lineRule="auto"/>
        <w:rPr>
          <w:rFonts w:ascii="Verdana" w:hAnsi="Verdana" w:cs="Verdana"/>
          <w:color w:val="000000"/>
          <w:sz w:val="20"/>
          <w:szCs w:val="20"/>
          <w:lang w:val="en-US"/>
        </w:rPr>
      </w:pPr>
      <w:r w:rsidRPr="00DD7849">
        <w:rPr>
          <w:rFonts w:ascii="Verdana" w:hAnsi="Verdana" w:cs="Verdana"/>
          <w:color w:val="000000"/>
          <w:sz w:val="20"/>
          <w:szCs w:val="20"/>
          <w:lang w:val="en-US"/>
        </w:rPr>
        <w:t xml:space="preserve">A corporate-level Risk Register is maintained by the University Executive. Local Risk Registers are developed and maintained for each </w:t>
      </w:r>
      <w:r w:rsidR="00CE521B">
        <w:rPr>
          <w:rFonts w:ascii="Verdana" w:hAnsi="Verdana" w:cs="Verdana"/>
          <w:color w:val="000000"/>
          <w:sz w:val="20"/>
          <w:szCs w:val="20"/>
          <w:lang w:val="en-US"/>
        </w:rPr>
        <w:t>Academic Department</w:t>
      </w:r>
      <w:r w:rsidR="00CE521B" w:rsidRPr="00DD7849">
        <w:rPr>
          <w:rFonts w:ascii="Verdana" w:hAnsi="Verdana" w:cs="Verdana"/>
          <w:color w:val="000000"/>
          <w:sz w:val="20"/>
          <w:szCs w:val="20"/>
          <w:lang w:val="en-US"/>
        </w:rPr>
        <w:t xml:space="preserve"> </w:t>
      </w:r>
      <w:r w:rsidRPr="00DD7849">
        <w:rPr>
          <w:rFonts w:ascii="Verdana" w:hAnsi="Verdana" w:cs="Verdana"/>
          <w:color w:val="000000"/>
          <w:sz w:val="20"/>
          <w:szCs w:val="20"/>
          <w:lang w:val="en-US"/>
        </w:rPr>
        <w:t xml:space="preserve">and </w:t>
      </w:r>
      <w:r w:rsidR="00CE521B">
        <w:rPr>
          <w:rFonts w:ascii="Verdana" w:hAnsi="Verdana" w:cs="Verdana"/>
          <w:color w:val="000000"/>
          <w:sz w:val="20"/>
          <w:szCs w:val="20"/>
          <w:lang w:val="en-US"/>
        </w:rPr>
        <w:t>P</w:t>
      </w:r>
      <w:r w:rsidRPr="00DD7849">
        <w:rPr>
          <w:rFonts w:ascii="Verdana" w:hAnsi="Verdana" w:cs="Verdana"/>
          <w:color w:val="000000"/>
          <w:sz w:val="20"/>
          <w:szCs w:val="20"/>
          <w:lang w:val="en-US"/>
        </w:rPr>
        <w:t xml:space="preserve">rofessional Service area. </w:t>
      </w:r>
    </w:p>
    <w:p w:rsidR="00DD7849" w:rsidRPr="00DD7849" w:rsidRDefault="00DD7849" w:rsidP="00DD7849">
      <w:pPr>
        <w:autoSpaceDE w:val="0"/>
        <w:autoSpaceDN w:val="0"/>
        <w:adjustRightInd w:val="0"/>
        <w:spacing w:after="0" w:line="240" w:lineRule="auto"/>
        <w:rPr>
          <w:rFonts w:ascii="Verdana" w:hAnsi="Verdana" w:cs="Verdana"/>
          <w:color w:val="000000"/>
          <w:sz w:val="20"/>
          <w:szCs w:val="20"/>
          <w:lang w:val="en-US"/>
        </w:rPr>
      </w:pPr>
    </w:p>
    <w:p w:rsidR="00DD7849" w:rsidRPr="00DD7849" w:rsidRDefault="00DD7849" w:rsidP="00DD7849">
      <w:pPr>
        <w:autoSpaceDE w:val="0"/>
        <w:autoSpaceDN w:val="0"/>
        <w:adjustRightInd w:val="0"/>
        <w:spacing w:after="0" w:line="240" w:lineRule="auto"/>
        <w:rPr>
          <w:rFonts w:ascii="Verdana" w:hAnsi="Verdana" w:cs="Verdana"/>
          <w:color w:val="000000"/>
          <w:sz w:val="20"/>
          <w:szCs w:val="20"/>
          <w:lang w:val="en-US"/>
        </w:rPr>
      </w:pPr>
      <w:r w:rsidRPr="00DD7849">
        <w:rPr>
          <w:rFonts w:ascii="Verdana" w:hAnsi="Verdana" w:cs="Verdana"/>
          <w:color w:val="000000"/>
          <w:sz w:val="20"/>
          <w:szCs w:val="20"/>
          <w:lang w:val="en-US"/>
        </w:rPr>
        <w:lastRenderedPageBreak/>
        <w:t xml:space="preserve">The Risk Register Template summarises risks in line with the key objectives of the Strategic Plan into risk areas. Risk owners are asked to identify risks within these broad corporate risk areas. </w:t>
      </w:r>
    </w:p>
    <w:p w:rsidR="00DD7849" w:rsidRDefault="00DD7849" w:rsidP="00DD7849">
      <w:pPr>
        <w:spacing w:after="0" w:line="240" w:lineRule="auto"/>
        <w:jc w:val="both"/>
        <w:rPr>
          <w:rFonts w:ascii="Verdana" w:hAnsi="Verdana" w:cs="Arial"/>
          <w:sz w:val="20"/>
          <w:szCs w:val="20"/>
        </w:rPr>
      </w:pPr>
      <w:r w:rsidRPr="00DD7849">
        <w:rPr>
          <w:rFonts w:ascii="Verdana" w:hAnsi="Verdana" w:cs="Verdana"/>
          <w:color w:val="000000"/>
          <w:sz w:val="20"/>
          <w:szCs w:val="20"/>
          <w:lang w:val="en-US"/>
        </w:rPr>
        <w:t>Entries in the Risk Register must:</w:t>
      </w:r>
    </w:p>
    <w:p w:rsidR="00DD7849" w:rsidRDefault="00DD7849" w:rsidP="00DD7849">
      <w:pPr>
        <w:spacing w:after="0" w:line="240" w:lineRule="auto"/>
        <w:jc w:val="both"/>
        <w:rPr>
          <w:rFonts w:ascii="Verdana" w:hAnsi="Verdana" w:cs="Arial"/>
          <w:sz w:val="20"/>
          <w:szCs w:val="20"/>
        </w:rPr>
      </w:pPr>
    </w:p>
    <w:p w:rsidR="00DD7849" w:rsidRDefault="00DD7849" w:rsidP="00254F59">
      <w:pPr>
        <w:numPr>
          <w:ilvl w:val="0"/>
          <w:numId w:val="36"/>
        </w:numPr>
        <w:spacing w:after="0" w:line="240" w:lineRule="auto"/>
        <w:jc w:val="both"/>
        <w:rPr>
          <w:rFonts w:ascii="Verdana" w:hAnsi="Verdana" w:cs="Arial"/>
          <w:sz w:val="20"/>
          <w:szCs w:val="20"/>
        </w:rPr>
      </w:pPr>
      <w:r>
        <w:rPr>
          <w:rFonts w:ascii="Verdana" w:hAnsi="Verdana" w:cs="Arial"/>
          <w:sz w:val="20"/>
          <w:szCs w:val="20"/>
        </w:rPr>
        <w:t>be meaningful and support the risk management process;</w:t>
      </w:r>
    </w:p>
    <w:p w:rsidR="00DD7849" w:rsidRDefault="00DD7849" w:rsidP="00254F59">
      <w:pPr>
        <w:numPr>
          <w:ilvl w:val="0"/>
          <w:numId w:val="36"/>
        </w:numPr>
        <w:spacing w:after="0" w:line="240" w:lineRule="auto"/>
        <w:jc w:val="both"/>
        <w:rPr>
          <w:rFonts w:ascii="Verdana" w:hAnsi="Verdana" w:cs="Arial"/>
          <w:sz w:val="20"/>
          <w:szCs w:val="20"/>
        </w:rPr>
      </w:pPr>
      <w:r>
        <w:rPr>
          <w:rFonts w:ascii="Verdana" w:hAnsi="Verdana" w:cs="Arial"/>
          <w:sz w:val="20"/>
          <w:szCs w:val="20"/>
        </w:rPr>
        <w:t>be able to demonstrate what is in place (or not) to respond to significant risks;</w:t>
      </w:r>
    </w:p>
    <w:p w:rsidR="00DD7849" w:rsidRDefault="00DD7849" w:rsidP="00254F59">
      <w:pPr>
        <w:numPr>
          <w:ilvl w:val="0"/>
          <w:numId w:val="36"/>
        </w:numPr>
        <w:spacing w:after="0" w:line="240" w:lineRule="auto"/>
        <w:jc w:val="both"/>
        <w:rPr>
          <w:rFonts w:ascii="Verdana" w:hAnsi="Verdana" w:cs="Arial"/>
          <w:sz w:val="20"/>
          <w:szCs w:val="20"/>
        </w:rPr>
      </w:pPr>
      <w:r>
        <w:rPr>
          <w:rFonts w:ascii="Verdana" w:hAnsi="Verdana" w:cs="Arial"/>
          <w:sz w:val="20"/>
          <w:szCs w:val="20"/>
        </w:rPr>
        <w:t>be concise – the risk register is not the place to provide project updates;</w:t>
      </w:r>
    </w:p>
    <w:p w:rsidR="00DD7849" w:rsidRDefault="00DD7849" w:rsidP="00254F59">
      <w:pPr>
        <w:numPr>
          <w:ilvl w:val="0"/>
          <w:numId w:val="36"/>
        </w:numPr>
        <w:spacing w:after="0" w:line="240" w:lineRule="auto"/>
        <w:jc w:val="both"/>
        <w:rPr>
          <w:rFonts w:ascii="Verdana" w:hAnsi="Verdana" w:cs="Arial"/>
          <w:sz w:val="20"/>
          <w:szCs w:val="20"/>
        </w:rPr>
      </w:pPr>
      <w:r>
        <w:rPr>
          <w:rFonts w:ascii="Verdana" w:hAnsi="Verdana" w:cs="Arial"/>
          <w:sz w:val="20"/>
          <w:szCs w:val="20"/>
        </w:rPr>
        <w:t>refer only to current or near-future actions; avoid listing htings which took place some time ago, or things that are taking place too far ahead, or at an unspecified time.</w:t>
      </w:r>
    </w:p>
    <w:p w:rsidR="00DD7849" w:rsidRDefault="00DD7849" w:rsidP="00254F59">
      <w:pPr>
        <w:numPr>
          <w:ilvl w:val="0"/>
          <w:numId w:val="36"/>
        </w:numPr>
        <w:spacing w:after="0" w:line="240" w:lineRule="auto"/>
        <w:jc w:val="both"/>
        <w:rPr>
          <w:rFonts w:ascii="Verdana" w:hAnsi="Verdana" w:cs="Arial"/>
          <w:sz w:val="20"/>
          <w:szCs w:val="20"/>
        </w:rPr>
      </w:pPr>
      <w:r>
        <w:rPr>
          <w:rFonts w:ascii="Verdana" w:hAnsi="Verdana" w:cs="Arial"/>
          <w:sz w:val="20"/>
          <w:szCs w:val="20"/>
        </w:rPr>
        <w:t>include dates, wherever possible, both for actions taken and for planned mitigating actions</w:t>
      </w:r>
    </w:p>
    <w:p w:rsidR="00DD7849" w:rsidRDefault="00DD7849" w:rsidP="00DD7849">
      <w:pPr>
        <w:spacing w:after="0" w:line="240" w:lineRule="auto"/>
        <w:jc w:val="both"/>
        <w:rPr>
          <w:rFonts w:ascii="Verdana" w:hAnsi="Verdana" w:cs="Arial"/>
          <w:sz w:val="20"/>
          <w:szCs w:val="20"/>
        </w:rPr>
      </w:pPr>
    </w:p>
    <w:p w:rsidR="00DD7849" w:rsidRDefault="00DD7849" w:rsidP="00DD7849">
      <w:pPr>
        <w:spacing w:after="0" w:line="240" w:lineRule="auto"/>
        <w:jc w:val="both"/>
        <w:rPr>
          <w:rFonts w:ascii="Verdana" w:hAnsi="Verdana" w:cs="Arial"/>
          <w:sz w:val="20"/>
          <w:szCs w:val="20"/>
        </w:rPr>
      </w:pPr>
      <w:r>
        <w:rPr>
          <w:rFonts w:ascii="Verdana" w:hAnsi="Verdana" w:cs="Arial"/>
          <w:i/>
          <w:sz w:val="20"/>
          <w:szCs w:val="20"/>
        </w:rPr>
        <w:t>Risk Owners</w:t>
      </w:r>
    </w:p>
    <w:p w:rsidR="00DD7849" w:rsidRPr="002B1FDD" w:rsidRDefault="00DD7849" w:rsidP="00DD7849">
      <w:pPr>
        <w:spacing w:after="0" w:line="240" w:lineRule="auto"/>
        <w:jc w:val="both"/>
        <w:rPr>
          <w:rFonts w:ascii="Verdana" w:hAnsi="Verdana" w:cs="Arial"/>
          <w:sz w:val="20"/>
          <w:szCs w:val="20"/>
        </w:rPr>
      </w:pPr>
    </w:p>
    <w:p w:rsidR="002B1FDD" w:rsidRPr="002B1FDD" w:rsidRDefault="00DD7849" w:rsidP="00DD7849">
      <w:pPr>
        <w:pStyle w:val="ColorfulList-Accent11"/>
        <w:spacing w:before="120" w:after="120"/>
        <w:ind w:left="0"/>
        <w:jc w:val="both"/>
        <w:rPr>
          <w:rFonts w:ascii="Verdana" w:hAnsi="Verdana" w:cs="Arial"/>
          <w:sz w:val="20"/>
          <w:szCs w:val="20"/>
        </w:rPr>
      </w:pPr>
      <w:r>
        <w:rPr>
          <w:rFonts w:ascii="Verdana" w:hAnsi="Verdana" w:cs="Arial"/>
          <w:sz w:val="20"/>
          <w:szCs w:val="20"/>
        </w:rPr>
        <w:t xml:space="preserve">Every risk recorded should have a </w:t>
      </w:r>
      <w:r>
        <w:rPr>
          <w:rFonts w:ascii="Verdana" w:hAnsi="Verdana" w:cs="Arial"/>
          <w:b/>
          <w:i/>
          <w:sz w:val="20"/>
          <w:szCs w:val="20"/>
        </w:rPr>
        <w:t>Risk Owner</w:t>
      </w:r>
      <w:r>
        <w:rPr>
          <w:rFonts w:ascii="Verdana" w:hAnsi="Verdana" w:cs="Arial"/>
          <w:sz w:val="20"/>
          <w:szCs w:val="20"/>
        </w:rPr>
        <w:t xml:space="preserve"> identified. Risks</w:t>
      </w:r>
      <w:r w:rsidR="002B1FDD" w:rsidRPr="002B1FDD">
        <w:rPr>
          <w:rFonts w:ascii="Verdana" w:hAnsi="Verdana" w:cs="Arial"/>
          <w:sz w:val="20"/>
          <w:szCs w:val="20"/>
        </w:rPr>
        <w:t xml:space="preserve"> on the Corporate Risk Register are assigned to a member of the Executive, in line with their portfolio. </w:t>
      </w:r>
    </w:p>
    <w:p w:rsidR="002B1FDD" w:rsidRPr="002B1FDD" w:rsidRDefault="002B1FDD" w:rsidP="000A4229">
      <w:pPr>
        <w:pStyle w:val="ColorfulList-Accent11"/>
        <w:spacing w:before="120" w:after="120"/>
        <w:ind w:left="0"/>
        <w:jc w:val="both"/>
        <w:rPr>
          <w:rFonts w:ascii="Verdana" w:hAnsi="Verdana" w:cs="Arial"/>
          <w:sz w:val="20"/>
          <w:szCs w:val="20"/>
        </w:rPr>
      </w:pPr>
    </w:p>
    <w:p w:rsidR="002B1FDD" w:rsidRPr="002B1FDD" w:rsidRDefault="002B1FDD" w:rsidP="000A4229">
      <w:pPr>
        <w:pStyle w:val="ColorfulList-Accent11"/>
        <w:spacing w:before="120" w:after="120"/>
        <w:ind w:left="0"/>
        <w:jc w:val="both"/>
        <w:rPr>
          <w:rFonts w:ascii="Verdana" w:hAnsi="Verdana" w:cs="Arial"/>
          <w:sz w:val="20"/>
          <w:szCs w:val="20"/>
        </w:rPr>
      </w:pPr>
      <w:r w:rsidRPr="002B1FDD">
        <w:rPr>
          <w:rFonts w:ascii="Verdana" w:hAnsi="Verdana" w:cs="Arial"/>
          <w:sz w:val="20"/>
          <w:szCs w:val="20"/>
        </w:rPr>
        <w:t xml:space="preserve"> At Departmental level, an identified ‘owner’ should similarly be identified for each risk.   The Risk Owner is the person charged with the overall responsibility for assessing, managing and reporting the risk, although they may delegate implementation</w:t>
      </w:r>
      <w:r w:rsidR="000E6498">
        <w:rPr>
          <w:rFonts w:ascii="Verdana" w:hAnsi="Verdana" w:cs="Arial"/>
          <w:sz w:val="20"/>
          <w:szCs w:val="20"/>
        </w:rPr>
        <w:t xml:space="preserve"> of mitigating actions</w:t>
      </w:r>
      <w:r w:rsidRPr="002B1FDD">
        <w:rPr>
          <w:rFonts w:ascii="Verdana" w:hAnsi="Verdana" w:cs="Arial"/>
          <w:sz w:val="20"/>
          <w:szCs w:val="20"/>
        </w:rPr>
        <w:t xml:space="preserve"> to the appropriate staff.</w:t>
      </w:r>
    </w:p>
    <w:p w:rsidR="002B1FDD" w:rsidRDefault="002B1FDD" w:rsidP="002B1FDD">
      <w:pPr>
        <w:pStyle w:val="ColorfulList-Accent11"/>
        <w:spacing w:before="120" w:after="120"/>
        <w:ind w:left="0"/>
        <w:rPr>
          <w:rFonts w:ascii="Verdana" w:hAnsi="Verdana" w:cs="Arial"/>
          <w:sz w:val="20"/>
          <w:szCs w:val="20"/>
        </w:rPr>
      </w:pPr>
    </w:p>
    <w:p w:rsidR="00DD7849" w:rsidRDefault="00DD7849" w:rsidP="002B1FDD">
      <w:pPr>
        <w:pStyle w:val="ColorfulList-Accent11"/>
        <w:spacing w:before="120" w:after="120"/>
        <w:ind w:left="0"/>
        <w:rPr>
          <w:rFonts w:ascii="Verdana" w:hAnsi="Verdana" w:cs="Arial"/>
          <w:i/>
          <w:sz w:val="20"/>
          <w:szCs w:val="20"/>
        </w:rPr>
      </w:pPr>
      <w:r>
        <w:rPr>
          <w:rFonts w:ascii="Verdana" w:hAnsi="Verdana" w:cs="Arial"/>
          <w:i/>
          <w:sz w:val="20"/>
          <w:szCs w:val="20"/>
        </w:rPr>
        <w:t>Defining the risks</w:t>
      </w:r>
    </w:p>
    <w:p w:rsidR="002B1FDD" w:rsidRPr="002B1FDD" w:rsidRDefault="002B1FDD" w:rsidP="002B1FDD">
      <w:pPr>
        <w:pStyle w:val="ColorfulList-Accent11"/>
        <w:spacing w:before="120" w:after="120"/>
        <w:ind w:left="0"/>
        <w:rPr>
          <w:rFonts w:ascii="Verdana" w:hAnsi="Verdana" w:cs="Arial"/>
          <w:b/>
          <w:sz w:val="20"/>
          <w:szCs w:val="20"/>
        </w:rPr>
      </w:pPr>
    </w:p>
    <w:p w:rsidR="002B1FDD" w:rsidRPr="002B1FDD" w:rsidRDefault="002B1FDD" w:rsidP="000A4229">
      <w:pPr>
        <w:pStyle w:val="ColorfulList-Accent11"/>
        <w:spacing w:before="120" w:after="120"/>
        <w:ind w:left="0"/>
        <w:jc w:val="both"/>
        <w:rPr>
          <w:rFonts w:ascii="Verdana" w:hAnsi="Verdana" w:cs="Arial"/>
          <w:sz w:val="20"/>
          <w:szCs w:val="20"/>
          <w:highlight w:val="yellow"/>
        </w:rPr>
      </w:pPr>
      <w:r w:rsidRPr="002B1FDD">
        <w:rPr>
          <w:rFonts w:ascii="Verdana" w:hAnsi="Verdana" w:cs="Arial"/>
          <w:sz w:val="20"/>
          <w:szCs w:val="20"/>
        </w:rPr>
        <w:t>Our corporate objectives state what we want to achieve as a university</w:t>
      </w:r>
      <w:r w:rsidR="00CE521B">
        <w:rPr>
          <w:rFonts w:ascii="Verdana" w:hAnsi="Verdana" w:cs="Arial"/>
          <w:sz w:val="20"/>
          <w:szCs w:val="20"/>
        </w:rPr>
        <w:t xml:space="preserve"> </w:t>
      </w:r>
      <w:r w:rsidRPr="002B1FDD">
        <w:rPr>
          <w:rFonts w:ascii="Verdana" w:hAnsi="Verdana" w:cs="Arial"/>
          <w:sz w:val="20"/>
          <w:szCs w:val="20"/>
        </w:rPr>
        <w:t xml:space="preserve">or Department.  In the Risk Management process, we must identify what risks could affect the desired outcomes.  </w:t>
      </w:r>
      <w:r w:rsidRPr="002B1FDD">
        <w:rPr>
          <w:rFonts w:ascii="Verdana" w:hAnsi="Verdana" w:cs="Arial"/>
          <w:sz w:val="20"/>
          <w:szCs w:val="20"/>
          <w:lang w:eastAsia="en-GB"/>
        </w:rPr>
        <w:t xml:space="preserve">Departmental ‘sub risks’ should, therefore, be identified in respect of achieving both strategic and local objectives.  </w:t>
      </w:r>
      <w:r w:rsidRPr="002B1FDD">
        <w:rPr>
          <w:rFonts w:ascii="Verdana" w:hAnsi="Verdana" w:cs="Arial"/>
          <w:sz w:val="20"/>
          <w:szCs w:val="20"/>
        </w:rPr>
        <w:t>Sub risks can be defined as:</w:t>
      </w:r>
    </w:p>
    <w:p w:rsidR="002B1FDD" w:rsidRPr="002B1FDD" w:rsidRDefault="002B1FDD" w:rsidP="002B1FDD">
      <w:pPr>
        <w:pStyle w:val="ColorfulList-Accent11"/>
        <w:spacing w:before="120" w:after="120"/>
        <w:ind w:left="0"/>
        <w:rPr>
          <w:rFonts w:ascii="Verdana" w:hAnsi="Verdana" w:cs="Arial"/>
          <w:sz w:val="20"/>
          <w:szCs w:val="20"/>
        </w:rPr>
      </w:pPr>
    </w:p>
    <w:p w:rsidR="002B1FDD" w:rsidRPr="002B1FDD" w:rsidRDefault="002B1FDD" w:rsidP="002B1FDD">
      <w:pPr>
        <w:pStyle w:val="ColorfulList-Accent11"/>
        <w:spacing w:before="120" w:after="120"/>
        <w:ind w:left="0"/>
        <w:rPr>
          <w:rFonts w:ascii="Verdana" w:hAnsi="Verdana" w:cs="Arial"/>
          <w:sz w:val="20"/>
          <w:szCs w:val="20"/>
          <w:lang w:eastAsia="en-GB"/>
        </w:rPr>
      </w:pPr>
      <w:r w:rsidRPr="002B1FDD">
        <w:rPr>
          <w:rFonts w:ascii="Verdana" w:hAnsi="Verdana" w:cs="Arial"/>
          <w:i/>
          <w:sz w:val="20"/>
          <w:szCs w:val="20"/>
        </w:rPr>
        <w:t>‘Risks to the successful achievement of Department plans or the Strategic Objectives.’</w:t>
      </w:r>
    </w:p>
    <w:p w:rsidR="002B1FDD" w:rsidRPr="002B1FDD" w:rsidRDefault="002B1FDD" w:rsidP="000A4229">
      <w:pPr>
        <w:pStyle w:val="ColorfulList-Accent11"/>
        <w:spacing w:before="120" w:after="120"/>
        <w:ind w:left="0"/>
        <w:jc w:val="both"/>
        <w:rPr>
          <w:rFonts w:ascii="Verdana" w:hAnsi="Verdana" w:cs="Arial"/>
          <w:sz w:val="20"/>
          <w:szCs w:val="20"/>
          <w:lang w:eastAsia="en-GB"/>
        </w:rPr>
      </w:pPr>
    </w:p>
    <w:p w:rsidR="002B1FDD" w:rsidRPr="002B1FDD" w:rsidRDefault="002B1FDD" w:rsidP="000A4229">
      <w:pPr>
        <w:pStyle w:val="ColorfulList-Accent11"/>
        <w:spacing w:before="120" w:after="120"/>
        <w:ind w:left="0"/>
        <w:jc w:val="both"/>
        <w:rPr>
          <w:rFonts w:ascii="Verdana" w:hAnsi="Verdana" w:cs="Arial"/>
          <w:sz w:val="20"/>
          <w:szCs w:val="20"/>
        </w:rPr>
      </w:pPr>
      <w:r w:rsidRPr="002B1FDD">
        <w:rPr>
          <w:rFonts w:ascii="Verdana" w:hAnsi="Verdana" w:cs="Arial"/>
          <w:sz w:val="20"/>
          <w:szCs w:val="20"/>
        </w:rPr>
        <w:t xml:space="preserve">In defining risk within risk areas, it may be helpful to think about what is changing, both internally and externally, for example changes in </w:t>
      </w:r>
      <w:r w:rsidR="00AD753B">
        <w:rPr>
          <w:rFonts w:ascii="Verdana" w:hAnsi="Verdana" w:cs="Arial"/>
          <w:sz w:val="20"/>
          <w:szCs w:val="20"/>
        </w:rPr>
        <w:t xml:space="preserve">the HE regulatory environment, </w:t>
      </w:r>
      <w:r w:rsidRPr="002B1FDD">
        <w:rPr>
          <w:rFonts w:ascii="Verdana" w:hAnsi="Verdana" w:cs="Arial"/>
          <w:sz w:val="20"/>
          <w:szCs w:val="20"/>
        </w:rPr>
        <w:t>learning and teaching approach, management structure, tuition fees.  Look for new risks, as well as changes to current risks. Think about:</w:t>
      </w:r>
    </w:p>
    <w:p w:rsidR="002B1FDD" w:rsidRPr="002B1FDD" w:rsidRDefault="002B1FDD" w:rsidP="000A4229">
      <w:pPr>
        <w:pStyle w:val="ColorfulList-Accent11"/>
        <w:spacing w:before="120" w:after="120"/>
        <w:ind w:left="0"/>
        <w:jc w:val="both"/>
        <w:rPr>
          <w:rFonts w:ascii="Verdana" w:hAnsi="Verdana" w:cs="Arial"/>
          <w:sz w:val="20"/>
          <w:szCs w:val="20"/>
          <w:highlight w:val="yellow"/>
          <w:u w:val="single"/>
        </w:rPr>
      </w:pPr>
    </w:p>
    <w:p w:rsidR="002B1FDD" w:rsidRPr="002B1FDD" w:rsidRDefault="002B1FDD" w:rsidP="002B1FDD">
      <w:pPr>
        <w:pStyle w:val="ColorfulList-Accent11"/>
        <w:spacing w:before="120" w:after="120"/>
        <w:ind w:left="0"/>
        <w:rPr>
          <w:rFonts w:ascii="Verdana" w:hAnsi="Verdana" w:cs="Arial"/>
          <w:sz w:val="20"/>
          <w:szCs w:val="20"/>
        </w:rPr>
      </w:pPr>
      <w:r w:rsidRPr="002B1FDD">
        <w:rPr>
          <w:rFonts w:ascii="Verdana" w:hAnsi="Verdana" w:cs="Arial"/>
          <w:sz w:val="20"/>
          <w:szCs w:val="20"/>
          <w:u w:val="single"/>
        </w:rPr>
        <w:t>Internal</w:t>
      </w:r>
      <w:r w:rsidRPr="002B1FDD">
        <w:rPr>
          <w:rFonts w:ascii="Verdana" w:hAnsi="Verdana" w:cs="Arial"/>
          <w:sz w:val="20"/>
          <w:szCs w:val="20"/>
        </w:rPr>
        <w:t>:</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staff</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students</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community</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trade unions</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partner organisations</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policy makers and administrators</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employers</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suppliers</w:t>
      </w:r>
    </w:p>
    <w:p w:rsidR="002B1FDD" w:rsidRPr="002B1FDD" w:rsidRDefault="002B1FDD" w:rsidP="002B1FDD">
      <w:pPr>
        <w:pStyle w:val="ColorfulList-Accent11"/>
        <w:numPr>
          <w:ilvl w:val="0"/>
          <w:numId w:val="5"/>
        </w:numPr>
        <w:spacing w:before="120" w:after="120" w:line="240" w:lineRule="auto"/>
        <w:rPr>
          <w:rFonts w:ascii="Verdana" w:hAnsi="Verdana" w:cs="Arial"/>
          <w:sz w:val="20"/>
          <w:szCs w:val="20"/>
        </w:rPr>
      </w:pPr>
      <w:r w:rsidRPr="002B1FDD">
        <w:rPr>
          <w:rFonts w:ascii="Verdana" w:hAnsi="Verdana" w:cs="Arial"/>
          <w:sz w:val="20"/>
          <w:szCs w:val="20"/>
        </w:rPr>
        <w:t>organisational changes</w:t>
      </w:r>
    </w:p>
    <w:p w:rsidR="002B1FDD" w:rsidRPr="002B1FDD" w:rsidRDefault="002B1FDD" w:rsidP="002B1FDD">
      <w:pPr>
        <w:pStyle w:val="ColorfulList-Accent11"/>
        <w:spacing w:before="120" w:after="120"/>
        <w:ind w:left="0"/>
        <w:rPr>
          <w:rFonts w:ascii="Verdana" w:hAnsi="Verdana" w:cs="Arial"/>
          <w:sz w:val="20"/>
          <w:szCs w:val="20"/>
        </w:rPr>
      </w:pPr>
    </w:p>
    <w:p w:rsidR="002B1FDD" w:rsidRPr="002B1FDD" w:rsidRDefault="002B1FDD" w:rsidP="002B1FDD">
      <w:pPr>
        <w:pStyle w:val="ColorfulList-Accent11"/>
        <w:spacing w:before="120" w:after="120"/>
        <w:ind w:left="0"/>
        <w:rPr>
          <w:rFonts w:ascii="Verdana" w:hAnsi="Verdana" w:cs="Arial"/>
          <w:sz w:val="20"/>
          <w:szCs w:val="20"/>
        </w:rPr>
      </w:pPr>
      <w:r w:rsidRPr="002B1FDD">
        <w:rPr>
          <w:rFonts w:ascii="Verdana" w:hAnsi="Verdana" w:cs="Arial"/>
          <w:sz w:val="20"/>
          <w:szCs w:val="20"/>
          <w:u w:val="single"/>
        </w:rPr>
        <w:t>External</w:t>
      </w:r>
      <w:r w:rsidRPr="002B1FDD">
        <w:rPr>
          <w:rFonts w:ascii="Verdana" w:hAnsi="Verdana" w:cs="Arial"/>
          <w:sz w:val="20"/>
          <w:szCs w:val="20"/>
        </w:rPr>
        <w:t>:</w:t>
      </w:r>
    </w:p>
    <w:p w:rsidR="002B1FDD" w:rsidRPr="002B1FDD" w:rsidRDefault="002B1FDD" w:rsidP="002B1FDD">
      <w:pPr>
        <w:pStyle w:val="ColorfulList-Accent11"/>
        <w:numPr>
          <w:ilvl w:val="0"/>
          <w:numId w:val="7"/>
        </w:numPr>
        <w:spacing w:before="120" w:after="120" w:line="240" w:lineRule="auto"/>
        <w:rPr>
          <w:rFonts w:ascii="Verdana" w:hAnsi="Verdana" w:cs="Arial"/>
          <w:sz w:val="20"/>
          <w:szCs w:val="20"/>
        </w:rPr>
      </w:pPr>
      <w:r w:rsidRPr="002B1FDD">
        <w:rPr>
          <w:rFonts w:ascii="Verdana" w:hAnsi="Verdana" w:cs="Arial"/>
          <w:sz w:val="20"/>
          <w:szCs w:val="20"/>
        </w:rPr>
        <w:t>legal and political changes</w:t>
      </w:r>
    </w:p>
    <w:p w:rsidR="002B1FDD" w:rsidRPr="002B1FDD" w:rsidRDefault="002B1FDD" w:rsidP="002B1FDD">
      <w:pPr>
        <w:pStyle w:val="ColorfulList-Accent11"/>
        <w:numPr>
          <w:ilvl w:val="0"/>
          <w:numId w:val="7"/>
        </w:numPr>
        <w:spacing w:before="120" w:after="120" w:line="240" w:lineRule="auto"/>
        <w:rPr>
          <w:rFonts w:ascii="Verdana" w:hAnsi="Verdana" w:cs="Arial"/>
          <w:sz w:val="20"/>
          <w:szCs w:val="20"/>
        </w:rPr>
      </w:pPr>
      <w:r w:rsidRPr="002B1FDD">
        <w:rPr>
          <w:rFonts w:ascii="Verdana" w:hAnsi="Verdana" w:cs="Arial"/>
          <w:sz w:val="20"/>
          <w:szCs w:val="20"/>
        </w:rPr>
        <w:t>funding bodies and regulators</w:t>
      </w:r>
    </w:p>
    <w:p w:rsidR="002B1FDD" w:rsidRPr="002B1FDD" w:rsidRDefault="002B1FDD" w:rsidP="002B1FDD">
      <w:pPr>
        <w:pStyle w:val="ColorfulList-Accent11"/>
        <w:numPr>
          <w:ilvl w:val="0"/>
          <w:numId w:val="7"/>
        </w:numPr>
        <w:spacing w:before="120" w:after="120" w:line="240" w:lineRule="auto"/>
        <w:rPr>
          <w:rFonts w:ascii="Verdana" w:hAnsi="Verdana" w:cs="Arial"/>
          <w:sz w:val="20"/>
          <w:szCs w:val="20"/>
        </w:rPr>
      </w:pPr>
      <w:r w:rsidRPr="002B1FDD">
        <w:rPr>
          <w:rFonts w:ascii="Verdana" w:hAnsi="Verdana" w:cs="Arial"/>
          <w:sz w:val="20"/>
          <w:szCs w:val="20"/>
        </w:rPr>
        <w:t>the impact of funding cuts and changes</w:t>
      </w:r>
    </w:p>
    <w:p w:rsidR="002B1FDD" w:rsidRPr="002B1FDD" w:rsidRDefault="002B1FDD" w:rsidP="002B1FDD">
      <w:pPr>
        <w:pStyle w:val="ColorfulList-Accent11"/>
        <w:numPr>
          <w:ilvl w:val="0"/>
          <w:numId w:val="7"/>
        </w:numPr>
        <w:spacing w:before="120" w:after="120" w:line="240" w:lineRule="auto"/>
        <w:rPr>
          <w:rFonts w:ascii="Verdana" w:hAnsi="Verdana" w:cs="Arial"/>
          <w:sz w:val="20"/>
          <w:szCs w:val="20"/>
        </w:rPr>
      </w:pPr>
      <w:r w:rsidRPr="002B1FDD">
        <w:rPr>
          <w:rFonts w:ascii="Verdana" w:hAnsi="Verdana" w:cs="Arial"/>
          <w:sz w:val="20"/>
          <w:szCs w:val="20"/>
        </w:rPr>
        <w:t>policy developments in relation to HE funding and regulation</w:t>
      </w:r>
    </w:p>
    <w:p w:rsidR="002B1FDD" w:rsidRDefault="002B1FDD" w:rsidP="002B1FDD">
      <w:pPr>
        <w:pStyle w:val="ColorfulList-Accent11"/>
        <w:spacing w:before="120" w:after="120"/>
        <w:ind w:left="0"/>
        <w:rPr>
          <w:rFonts w:ascii="Verdana" w:hAnsi="Verdana" w:cs="Arial"/>
          <w:sz w:val="20"/>
          <w:szCs w:val="20"/>
          <w:lang w:eastAsia="en-GB"/>
        </w:rPr>
      </w:pPr>
    </w:p>
    <w:p w:rsidR="00561236" w:rsidRDefault="00561236" w:rsidP="002B1FDD">
      <w:pPr>
        <w:pStyle w:val="ColorfulList-Accent11"/>
        <w:spacing w:before="120" w:after="120"/>
        <w:ind w:left="0"/>
        <w:rPr>
          <w:rFonts w:ascii="Verdana" w:hAnsi="Verdana" w:cs="Arial"/>
          <w:sz w:val="20"/>
          <w:szCs w:val="20"/>
          <w:lang w:eastAsia="en-GB"/>
        </w:rPr>
      </w:pPr>
    </w:p>
    <w:p w:rsidR="00806847" w:rsidRDefault="00806847" w:rsidP="002B1FDD">
      <w:pPr>
        <w:pStyle w:val="ColorfulList-Accent11"/>
        <w:spacing w:before="120" w:after="120"/>
        <w:ind w:left="0"/>
        <w:rPr>
          <w:rFonts w:ascii="Verdana" w:hAnsi="Verdana" w:cs="Arial"/>
          <w:sz w:val="20"/>
          <w:szCs w:val="20"/>
          <w:lang w:eastAsia="en-GB"/>
        </w:rPr>
      </w:pPr>
    </w:p>
    <w:p w:rsidR="00CE521B" w:rsidRDefault="00CE521B" w:rsidP="002B1FDD">
      <w:pPr>
        <w:pStyle w:val="ColorfulList-Accent11"/>
        <w:spacing w:before="120" w:after="120"/>
        <w:ind w:left="0"/>
        <w:rPr>
          <w:rFonts w:ascii="Verdana" w:hAnsi="Verdana" w:cs="Arial"/>
          <w:sz w:val="20"/>
          <w:szCs w:val="20"/>
          <w:lang w:eastAsia="en-GB"/>
        </w:rPr>
      </w:pPr>
    </w:p>
    <w:p w:rsidR="00806847" w:rsidRDefault="00806847" w:rsidP="002B1FDD">
      <w:pPr>
        <w:pStyle w:val="ColorfulList-Accent11"/>
        <w:spacing w:before="120" w:after="120"/>
        <w:ind w:left="0"/>
        <w:rPr>
          <w:rFonts w:ascii="Verdana" w:hAnsi="Verdana" w:cs="Arial"/>
          <w:sz w:val="20"/>
          <w:szCs w:val="20"/>
          <w:lang w:eastAsia="en-GB"/>
        </w:rPr>
      </w:pPr>
    </w:p>
    <w:p w:rsidR="00561236" w:rsidRDefault="00561236" w:rsidP="002B1FDD">
      <w:pPr>
        <w:pStyle w:val="ColorfulList-Accent11"/>
        <w:spacing w:before="120" w:after="120"/>
        <w:ind w:left="0"/>
        <w:rPr>
          <w:rFonts w:ascii="Verdana" w:hAnsi="Verdana" w:cs="Arial"/>
          <w:b/>
          <w:sz w:val="20"/>
          <w:szCs w:val="20"/>
          <w:lang w:eastAsia="en-GB"/>
        </w:rPr>
      </w:pPr>
      <w:r>
        <w:rPr>
          <w:rFonts w:ascii="Verdana" w:hAnsi="Verdana" w:cs="Arial"/>
          <w:b/>
          <w:sz w:val="20"/>
          <w:szCs w:val="20"/>
          <w:lang w:eastAsia="en-GB"/>
        </w:rPr>
        <w:lastRenderedPageBreak/>
        <w:t>7. Risk Evaluation (Assessing Probability and Impact)</w:t>
      </w:r>
    </w:p>
    <w:p w:rsidR="00561236" w:rsidRDefault="00561236" w:rsidP="002B1FDD">
      <w:pPr>
        <w:pStyle w:val="ColorfulList-Accent11"/>
        <w:spacing w:before="120" w:after="120"/>
        <w:ind w:left="0"/>
        <w:rPr>
          <w:rFonts w:ascii="Verdana" w:hAnsi="Verdana" w:cs="Arial"/>
          <w:b/>
          <w:sz w:val="20"/>
          <w:szCs w:val="20"/>
          <w:lang w:eastAsia="en-GB"/>
        </w:rPr>
      </w:pPr>
    </w:p>
    <w:p w:rsidR="00561236" w:rsidRDefault="00561236" w:rsidP="00561236">
      <w:pPr>
        <w:pStyle w:val="ColorfulList-Accent11"/>
        <w:numPr>
          <w:ilvl w:val="0"/>
          <w:numId w:val="37"/>
        </w:numPr>
        <w:spacing w:before="120" w:after="120"/>
        <w:rPr>
          <w:rFonts w:ascii="Verdana" w:hAnsi="Verdana" w:cs="Arial"/>
          <w:b/>
          <w:sz w:val="20"/>
          <w:szCs w:val="20"/>
          <w:lang w:eastAsia="en-GB"/>
        </w:rPr>
      </w:pPr>
      <w:r>
        <w:rPr>
          <w:rFonts w:ascii="Verdana" w:hAnsi="Verdana" w:cs="Arial"/>
          <w:b/>
          <w:sz w:val="20"/>
          <w:szCs w:val="20"/>
          <w:lang w:eastAsia="en-GB"/>
        </w:rPr>
        <w:t xml:space="preserve">Impact and likelihood </w:t>
      </w:r>
    </w:p>
    <w:p w:rsidR="00561236" w:rsidRPr="00254F59" w:rsidRDefault="00561236" w:rsidP="00254F59">
      <w:pPr>
        <w:pStyle w:val="ColorfulList-Accent11"/>
        <w:spacing w:before="120" w:after="120"/>
        <w:ind w:left="360"/>
        <w:rPr>
          <w:rFonts w:ascii="Verdana" w:hAnsi="Verdana" w:cs="Arial"/>
          <w:b/>
          <w:sz w:val="20"/>
          <w:szCs w:val="20"/>
          <w:lang w:eastAsia="en-GB"/>
        </w:rPr>
      </w:pPr>
    </w:p>
    <w:p w:rsidR="00561236" w:rsidRPr="002B1FDD" w:rsidRDefault="00561236" w:rsidP="00561236">
      <w:pPr>
        <w:pStyle w:val="ColorfulList-Accent11"/>
        <w:spacing w:before="120" w:after="120"/>
        <w:ind w:left="0"/>
        <w:jc w:val="both"/>
        <w:rPr>
          <w:rFonts w:ascii="Verdana" w:hAnsi="Verdana" w:cs="Arial"/>
          <w:sz w:val="20"/>
          <w:szCs w:val="20"/>
          <w:lang w:eastAsia="en-GB"/>
        </w:rPr>
      </w:pPr>
      <w:r w:rsidRPr="002B1FDD">
        <w:rPr>
          <w:rFonts w:ascii="Verdana" w:hAnsi="Verdana" w:cs="Arial"/>
          <w:sz w:val="20"/>
          <w:szCs w:val="20"/>
        </w:rPr>
        <w:t xml:space="preserve">Risk assessment involves assessing our performance in controlling these risks.  </w:t>
      </w:r>
      <w:r w:rsidRPr="002B1FDD">
        <w:rPr>
          <w:rFonts w:ascii="Verdana" w:hAnsi="Verdana" w:cs="Arial"/>
          <w:sz w:val="20"/>
          <w:szCs w:val="20"/>
          <w:lang w:eastAsia="en-GB"/>
        </w:rPr>
        <w:t xml:space="preserve">Risk levels should be assessed by looking at the </w:t>
      </w:r>
      <w:r w:rsidRPr="002B1FDD">
        <w:rPr>
          <w:rFonts w:ascii="Verdana" w:hAnsi="Verdana" w:cs="Arial"/>
          <w:b/>
          <w:sz w:val="20"/>
          <w:szCs w:val="20"/>
          <w:lang w:eastAsia="en-GB"/>
        </w:rPr>
        <w:t>impact and the likelihood</w:t>
      </w:r>
      <w:r w:rsidRPr="002B1FDD">
        <w:rPr>
          <w:rFonts w:ascii="Verdana" w:hAnsi="Verdana" w:cs="Arial"/>
          <w:sz w:val="20"/>
          <w:szCs w:val="20"/>
          <w:lang w:eastAsia="en-GB"/>
        </w:rPr>
        <w:t xml:space="preserve"> </w:t>
      </w:r>
      <w:r>
        <w:rPr>
          <w:rFonts w:ascii="Verdana" w:hAnsi="Verdana" w:cs="Arial"/>
          <w:sz w:val="20"/>
          <w:szCs w:val="20"/>
          <w:lang w:eastAsia="en-GB"/>
        </w:rPr>
        <w:t xml:space="preserve">(probability) </w:t>
      </w:r>
      <w:r w:rsidRPr="002B1FDD">
        <w:rPr>
          <w:rFonts w:ascii="Verdana" w:hAnsi="Verdana" w:cs="Arial"/>
          <w:sz w:val="20"/>
          <w:szCs w:val="20"/>
          <w:lang w:eastAsia="en-GB"/>
        </w:rPr>
        <w:t>of risks separately.  Most mitigating actions and controls tend to be about reducing the likelihood of risk, rather than being able to reduce impact – for instance reducing the likelihood of power failure through back-up systems, testing etc</w:t>
      </w:r>
      <w:r>
        <w:rPr>
          <w:rFonts w:ascii="Verdana" w:hAnsi="Verdana" w:cs="Arial"/>
          <w:sz w:val="20"/>
          <w:szCs w:val="20"/>
          <w:lang w:eastAsia="en-GB"/>
        </w:rPr>
        <w:t>.</w:t>
      </w:r>
      <w:r w:rsidRPr="002B1FDD">
        <w:rPr>
          <w:rFonts w:ascii="Verdana" w:hAnsi="Verdana" w:cs="Arial"/>
          <w:sz w:val="20"/>
          <w:szCs w:val="20"/>
          <w:lang w:eastAsia="en-GB"/>
        </w:rPr>
        <w:t xml:space="preserve">,   rather than concentrating on reducing the university’s dependence on mains electricity, which would reduce the impact.   </w:t>
      </w:r>
    </w:p>
    <w:p w:rsidR="00561236" w:rsidRPr="002B1FDD" w:rsidRDefault="00561236" w:rsidP="00561236">
      <w:pPr>
        <w:pStyle w:val="ColorfulList-Accent11"/>
        <w:spacing w:before="120" w:after="120"/>
        <w:ind w:left="0"/>
        <w:jc w:val="both"/>
        <w:rPr>
          <w:rFonts w:ascii="Verdana" w:hAnsi="Verdana" w:cs="Arial"/>
          <w:sz w:val="20"/>
          <w:szCs w:val="20"/>
          <w:lang w:eastAsia="en-GB"/>
        </w:rPr>
      </w:pPr>
    </w:p>
    <w:p w:rsidR="00561236" w:rsidRPr="002B1FDD" w:rsidRDefault="00561236" w:rsidP="00561236">
      <w:pPr>
        <w:pStyle w:val="ColorfulList-Accent11"/>
        <w:spacing w:before="120" w:after="120"/>
        <w:ind w:left="0"/>
        <w:jc w:val="both"/>
        <w:rPr>
          <w:rFonts w:ascii="Verdana" w:hAnsi="Verdana" w:cs="Arial"/>
          <w:sz w:val="20"/>
          <w:szCs w:val="20"/>
          <w:lang w:eastAsia="en-GB"/>
        </w:rPr>
      </w:pPr>
      <w:r w:rsidRPr="002B1FDD">
        <w:rPr>
          <w:rFonts w:ascii="Verdana" w:hAnsi="Verdana" w:cs="Arial"/>
          <w:sz w:val="20"/>
          <w:szCs w:val="20"/>
          <w:lang w:eastAsia="en-GB"/>
        </w:rPr>
        <w:t xml:space="preserve">The risk assessment for impact and likelihood is based on the familiar assessment of Low/Medium/High/Very High.  </w:t>
      </w:r>
    </w:p>
    <w:p w:rsidR="00561236" w:rsidRPr="002B1FDD" w:rsidRDefault="00561236" w:rsidP="00561236">
      <w:pPr>
        <w:pStyle w:val="ColorfulList-Accent11"/>
        <w:spacing w:before="120" w:after="120"/>
        <w:ind w:left="0"/>
        <w:jc w:val="both"/>
        <w:rPr>
          <w:rFonts w:ascii="Verdana" w:hAnsi="Verdana" w:cs="Arial"/>
          <w:sz w:val="20"/>
          <w:szCs w:val="20"/>
          <w:lang w:eastAsia="en-GB"/>
        </w:rPr>
      </w:pPr>
    </w:p>
    <w:p w:rsidR="00561236" w:rsidRPr="002B1FDD" w:rsidRDefault="00561236" w:rsidP="00561236">
      <w:pPr>
        <w:pStyle w:val="ColorfulList-Accent11"/>
        <w:spacing w:before="120" w:after="120"/>
        <w:ind w:left="0"/>
        <w:jc w:val="both"/>
        <w:rPr>
          <w:rFonts w:ascii="Verdana" w:hAnsi="Verdana" w:cs="Arial"/>
          <w:sz w:val="20"/>
          <w:szCs w:val="20"/>
          <w:lang w:eastAsia="en-GB"/>
        </w:rPr>
      </w:pPr>
      <w:r w:rsidRPr="002B1FDD">
        <w:rPr>
          <w:rFonts w:ascii="Verdana" w:hAnsi="Verdana" w:cs="Arial"/>
          <w:sz w:val="20"/>
          <w:szCs w:val="20"/>
          <w:lang w:eastAsia="en-GB"/>
        </w:rPr>
        <w:t xml:space="preserve">An assessment matrix defining how risk can be quantified has been provided at Appendix D.   Please use these assessment matrices when completing the risk register, as this enables better upwards iteration of local risks into the Corporate Risk Register if appropriate. </w:t>
      </w:r>
    </w:p>
    <w:p w:rsidR="00561236" w:rsidRPr="002B1FDD" w:rsidRDefault="00561236" w:rsidP="00561236">
      <w:pPr>
        <w:pStyle w:val="ColorfulList-Accent11"/>
        <w:spacing w:before="120"/>
        <w:ind w:left="0"/>
        <w:jc w:val="both"/>
        <w:rPr>
          <w:rFonts w:ascii="Verdana" w:hAnsi="Verdana" w:cs="Arial"/>
          <w:sz w:val="20"/>
          <w:szCs w:val="20"/>
          <w:lang w:eastAsia="en-GB"/>
        </w:rPr>
      </w:pPr>
    </w:p>
    <w:p w:rsidR="00561236" w:rsidRDefault="00561236" w:rsidP="00561236">
      <w:pPr>
        <w:spacing w:after="0" w:line="240" w:lineRule="auto"/>
        <w:jc w:val="both"/>
        <w:rPr>
          <w:rFonts w:ascii="Verdana" w:hAnsi="Verdana" w:cs="Arial"/>
          <w:sz w:val="20"/>
          <w:szCs w:val="20"/>
          <w:lang w:eastAsia="en-GB"/>
        </w:rPr>
      </w:pPr>
      <w:r w:rsidRPr="002B1FDD">
        <w:rPr>
          <w:rFonts w:ascii="Verdana" w:hAnsi="Verdana" w:cs="Arial"/>
          <w:sz w:val="20"/>
          <w:szCs w:val="20"/>
        </w:rPr>
        <w:t xml:space="preserve">Assessment of risk should be a group activity, since this can </w:t>
      </w:r>
      <w:r w:rsidRPr="002B1FDD">
        <w:rPr>
          <w:rFonts w:ascii="Verdana" w:hAnsi="Verdana" w:cs="Arial"/>
          <w:sz w:val="20"/>
          <w:szCs w:val="20"/>
          <w:lang w:eastAsia="en-GB"/>
        </w:rPr>
        <w:t xml:space="preserve">highlight whether staff members think that a control is effective, or whether they have the same understanding of the importance of certain issues.  </w:t>
      </w:r>
    </w:p>
    <w:p w:rsidR="00561236" w:rsidRPr="002B1FDD" w:rsidRDefault="00561236" w:rsidP="00561236">
      <w:pPr>
        <w:spacing w:after="0" w:line="240" w:lineRule="auto"/>
        <w:jc w:val="both"/>
        <w:rPr>
          <w:rFonts w:ascii="Verdana" w:hAnsi="Verdana" w:cs="Arial"/>
          <w:sz w:val="20"/>
          <w:szCs w:val="20"/>
          <w:lang w:eastAsia="en-GB"/>
        </w:rPr>
      </w:pPr>
    </w:p>
    <w:p w:rsidR="00561236" w:rsidRPr="00254F59" w:rsidRDefault="00561236" w:rsidP="00254F59">
      <w:pPr>
        <w:pStyle w:val="ColorfulList-Accent11"/>
        <w:numPr>
          <w:ilvl w:val="0"/>
          <w:numId w:val="37"/>
        </w:numPr>
        <w:ind w:left="0" w:firstLine="0"/>
        <w:contextualSpacing w:val="0"/>
        <w:jc w:val="both"/>
        <w:rPr>
          <w:rFonts w:ascii="Verdana" w:hAnsi="Verdana" w:cs="Arial"/>
          <w:b/>
          <w:bCs/>
          <w:sz w:val="20"/>
          <w:szCs w:val="20"/>
        </w:rPr>
      </w:pPr>
      <w:r w:rsidRPr="00254F59">
        <w:rPr>
          <w:rFonts w:ascii="Verdana" w:hAnsi="Verdana" w:cs="Arial"/>
          <w:b/>
          <w:bCs/>
          <w:sz w:val="20"/>
          <w:szCs w:val="20"/>
        </w:rPr>
        <w:t>Assessing risk appetite</w:t>
      </w:r>
    </w:p>
    <w:p w:rsidR="002B1FDD" w:rsidRPr="00254F59" w:rsidRDefault="001D04CF" w:rsidP="00254F59">
      <w:pPr>
        <w:pStyle w:val="ColorfulList-Accent11"/>
        <w:spacing w:after="0" w:line="240" w:lineRule="auto"/>
        <w:ind w:left="0"/>
        <w:contextualSpacing w:val="0"/>
        <w:rPr>
          <w:rFonts w:ascii="Verdana" w:hAnsi="Verdana"/>
          <w:sz w:val="20"/>
          <w:szCs w:val="20"/>
        </w:rPr>
      </w:pPr>
      <w:r w:rsidRPr="00254F59">
        <w:rPr>
          <w:rFonts w:ascii="Verdana" w:hAnsi="Verdana"/>
          <w:sz w:val="20"/>
          <w:szCs w:val="20"/>
        </w:rPr>
        <w:t>To deliver its Strategic Plan, the University may need to be prepared to take risks, as risks can also be opportunities.</w:t>
      </w:r>
    </w:p>
    <w:p w:rsidR="001D04CF" w:rsidRDefault="001D04CF" w:rsidP="00254F59">
      <w:pPr>
        <w:pStyle w:val="ColorfulList-Accent11"/>
        <w:spacing w:after="0" w:line="240" w:lineRule="auto"/>
        <w:ind w:left="0"/>
        <w:contextualSpacing w:val="0"/>
        <w:rPr>
          <w:sz w:val="20"/>
          <w:szCs w:val="20"/>
        </w:rPr>
      </w:pPr>
    </w:p>
    <w:p w:rsidR="001D04CF" w:rsidRPr="00254F59" w:rsidRDefault="001D04CF" w:rsidP="00254F59">
      <w:pPr>
        <w:pStyle w:val="ColorfulList-Accent11"/>
        <w:spacing w:after="0" w:line="240" w:lineRule="auto"/>
        <w:ind w:left="0"/>
        <w:contextualSpacing w:val="0"/>
        <w:rPr>
          <w:rFonts w:ascii="Verdana" w:hAnsi="Verdana" w:cs="Arial"/>
          <w:sz w:val="20"/>
          <w:szCs w:val="20"/>
        </w:rPr>
      </w:pPr>
      <w:r w:rsidRPr="00254F59">
        <w:rPr>
          <w:rFonts w:ascii="Verdana" w:hAnsi="Verdana" w:cs="Arial"/>
          <w:sz w:val="20"/>
          <w:szCs w:val="20"/>
        </w:rPr>
        <w:t>Risk Appetite is defined as:</w:t>
      </w:r>
    </w:p>
    <w:p w:rsidR="001664DA" w:rsidRDefault="001664DA" w:rsidP="001D04CF">
      <w:pPr>
        <w:pStyle w:val="ColorfulList-Accent11"/>
        <w:spacing w:after="0" w:line="240" w:lineRule="auto"/>
        <w:ind w:left="0"/>
        <w:contextualSpacing w:val="0"/>
        <w:rPr>
          <w:rFonts w:ascii="Verdana" w:hAnsi="Verdana" w:cs="Arial"/>
          <w:b/>
          <w:sz w:val="20"/>
          <w:szCs w:val="20"/>
        </w:rPr>
      </w:pPr>
    </w:p>
    <w:p w:rsidR="001D04CF" w:rsidRPr="00254F59" w:rsidRDefault="001D04CF" w:rsidP="001D04CF">
      <w:pPr>
        <w:pStyle w:val="ColorfulList-Accent11"/>
        <w:spacing w:after="0" w:line="240" w:lineRule="auto"/>
        <w:ind w:left="0"/>
        <w:contextualSpacing w:val="0"/>
        <w:rPr>
          <w:rFonts w:ascii="Verdana" w:hAnsi="Verdana" w:cs="Arial"/>
          <w:i/>
          <w:sz w:val="20"/>
          <w:szCs w:val="20"/>
        </w:rPr>
      </w:pPr>
      <w:r w:rsidRPr="00254F59">
        <w:rPr>
          <w:rFonts w:ascii="Verdana" w:hAnsi="Verdana" w:cs="Arial"/>
          <w:i/>
          <w:sz w:val="20"/>
          <w:szCs w:val="20"/>
        </w:rPr>
        <w:t xml:space="preserve">‘The University’s willingness to accept risk in pursuit of its objectives’ </w:t>
      </w:r>
    </w:p>
    <w:p w:rsidR="001664DA" w:rsidRDefault="001664DA" w:rsidP="00561236">
      <w:pPr>
        <w:pStyle w:val="ColorfulList-Accent11"/>
        <w:spacing w:after="0" w:line="240" w:lineRule="auto"/>
        <w:contextualSpacing w:val="0"/>
        <w:rPr>
          <w:sz w:val="20"/>
          <w:szCs w:val="20"/>
        </w:rPr>
      </w:pPr>
    </w:p>
    <w:p w:rsidR="001D04CF" w:rsidRDefault="001D04CF" w:rsidP="001D04CF">
      <w:pPr>
        <w:autoSpaceDE w:val="0"/>
        <w:autoSpaceDN w:val="0"/>
        <w:adjustRightInd w:val="0"/>
        <w:spacing w:after="0" w:line="240" w:lineRule="auto"/>
        <w:rPr>
          <w:rFonts w:ascii="Verdana" w:hAnsi="Verdana" w:cs="Verdana"/>
          <w:color w:val="000000"/>
          <w:sz w:val="20"/>
          <w:szCs w:val="20"/>
          <w:lang w:val="en-US"/>
        </w:rPr>
      </w:pPr>
      <w:r w:rsidRPr="001D04CF">
        <w:rPr>
          <w:rFonts w:ascii="Verdana" w:hAnsi="Verdana" w:cs="Verdana"/>
          <w:color w:val="000000"/>
          <w:sz w:val="20"/>
          <w:szCs w:val="20"/>
          <w:lang w:val="en-US"/>
        </w:rPr>
        <w:t xml:space="preserve">Our risk management processes should be flexible enough to recognise this; and aid senior management to make bold, informed decisions based on full knowledge of risk levels. It is important to avoid over-mitigation of risk – _this could lead to missed opportunities. For this reason, Council is tasked with agreeing acceptable risk levels for significant risks. Any revisions to the Risk Appetite Statement are proposed by the University Executive, and tested by the Audit, Risk and Assurance Committee prior to consideration by the Council. </w:t>
      </w:r>
    </w:p>
    <w:p w:rsidR="001D04CF" w:rsidRPr="001D04CF" w:rsidRDefault="001D04CF" w:rsidP="001D04CF">
      <w:pPr>
        <w:autoSpaceDE w:val="0"/>
        <w:autoSpaceDN w:val="0"/>
        <w:adjustRightInd w:val="0"/>
        <w:spacing w:after="0" w:line="240" w:lineRule="auto"/>
        <w:rPr>
          <w:rFonts w:ascii="Verdana" w:hAnsi="Verdana" w:cs="Verdana"/>
          <w:color w:val="000000"/>
          <w:sz w:val="20"/>
          <w:szCs w:val="20"/>
          <w:lang w:val="en-US"/>
        </w:rPr>
      </w:pPr>
    </w:p>
    <w:p w:rsidR="001D04CF" w:rsidRDefault="001D04CF" w:rsidP="001D04CF">
      <w:pPr>
        <w:pStyle w:val="ColorfulList-Accent11"/>
        <w:spacing w:after="0" w:line="240" w:lineRule="auto"/>
        <w:ind w:left="0"/>
        <w:contextualSpacing w:val="0"/>
        <w:rPr>
          <w:rFonts w:ascii="Verdana" w:hAnsi="Verdana" w:cs="Arial"/>
          <w:b/>
          <w:sz w:val="20"/>
          <w:szCs w:val="20"/>
        </w:rPr>
      </w:pPr>
      <w:r w:rsidRPr="001D04CF">
        <w:rPr>
          <w:rFonts w:ascii="Verdana" w:hAnsi="Verdana" w:cs="Verdana"/>
          <w:color w:val="000000"/>
          <w:sz w:val="20"/>
          <w:szCs w:val="20"/>
          <w:lang w:val="en-US"/>
        </w:rPr>
        <w:t>The Aberystwyth University Statement of Risk Appetite is available on the Risk Management webpage http://www.aber.ac.uk/en/pag/planning/risk-management/ . A risk appetite matrix is also provided to help assess risk appetite in specific cases.</w:t>
      </w:r>
    </w:p>
    <w:p w:rsidR="001664DA" w:rsidRDefault="001664DA" w:rsidP="00561236">
      <w:pPr>
        <w:pStyle w:val="ColorfulList-Accent11"/>
        <w:spacing w:after="0" w:line="240" w:lineRule="auto"/>
        <w:contextualSpacing w:val="0"/>
        <w:rPr>
          <w:rFonts w:ascii="Verdana" w:hAnsi="Verdana" w:cs="Arial"/>
          <w:b/>
          <w:sz w:val="20"/>
          <w:szCs w:val="20"/>
        </w:rPr>
      </w:pPr>
    </w:p>
    <w:p w:rsidR="000A4229" w:rsidRPr="002B1FDD" w:rsidRDefault="000A4229" w:rsidP="002B1FDD">
      <w:pPr>
        <w:pStyle w:val="ColorfulList-Accent11"/>
        <w:rPr>
          <w:rFonts w:ascii="Verdana" w:hAnsi="Verdana" w:cs="Arial"/>
          <w:sz w:val="20"/>
          <w:szCs w:val="20"/>
          <w:lang w:eastAsia="en-GB"/>
        </w:rPr>
      </w:pPr>
    </w:p>
    <w:p w:rsidR="002B1FDD" w:rsidRPr="002B1FDD" w:rsidRDefault="00F02759" w:rsidP="00254F59">
      <w:pPr>
        <w:pStyle w:val="ColorfulList-Accent11"/>
        <w:numPr>
          <w:ilvl w:val="0"/>
          <w:numId w:val="37"/>
        </w:numPr>
        <w:spacing w:before="120" w:after="120" w:line="240" w:lineRule="auto"/>
        <w:ind w:left="851" w:hanging="851"/>
        <w:rPr>
          <w:rFonts w:ascii="Verdana" w:hAnsi="Verdana" w:cs="Arial"/>
          <w:sz w:val="20"/>
          <w:szCs w:val="20"/>
        </w:rPr>
      </w:pPr>
      <w:r>
        <w:rPr>
          <w:rFonts w:ascii="Verdana" w:eastAsia="Times New Roman" w:hAnsi="Verdana" w:cs="Arial"/>
          <w:b/>
          <w:bCs/>
          <w:color w:val="000000"/>
          <w:sz w:val="20"/>
          <w:szCs w:val="20"/>
          <w:lang w:eastAsia="en-GB"/>
        </w:rPr>
        <w:t>Cause</w:t>
      </w:r>
      <w:r w:rsidR="000A0EED">
        <w:rPr>
          <w:rFonts w:ascii="Verdana" w:eastAsia="Times New Roman" w:hAnsi="Verdana" w:cs="Arial"/>
          <w:b/>
          <w:bCs/>
          <w:color w:val="000000"/>
          <w:sz w:val="20"/>
          <w:szCs w:val="20"/>
          <w:lang w:eastAsia="en-GB"/>
        </w:rPr>
        <w:t xml:space="preserve"> and Effect</w:t>
      </w:r>
    </w:p>
    <w:p w:rsidR="002B1FDD" w:rsidRPr="002B1FDD" w:rsidRDefault="002B1FDD" w:rsidP="002B1FDD">
      <w:pPr>
        <w:pStyle w:val="ColorfulList-Accent11"/>
        <w:ind w:left="0"/>
        <w:contextualSpacing w:val="0"/>
        <w:rPr>
          <w:rFonts w:ascii="Verdana" w:hAnsi="Verdana" w:cs="Arial"/>
          <w:sz w:val="20"/>
          <w:szCs w:val="20"/>
        </w:rPr>
      </w:pPr>
    </w:p>
    <w:p w:rsidR="002B1FDD" w:rsidRDefault="00F02759" w:rsidP="000A4229">
      <w:pPr>
        <w:pStyle w:val="ColorfulList-Accent11"/>
        <w:ind w:left="0"/>
        <w:contextualSpacing w:val="0"/>
        <w:jc w:val="both"/>
        <w:rPr>
          <w:rFonts w:ascii="Verdana" w:hAnsi="Verdana" w:cs="Arial"/>
          <w:sz w:val="20"/>
          <w:szCs w:val="20"/>
        </w:rPr>
      </w:pPr>
      <w:r>
        <w:rPr>
          <w:rFonts w:ascii="Verdana" w:hAnsi="Verdana" w:cs="Arial"/>
          <w:sz w:val="20"/>
          <w:szCs w:val="20"/>
        </w:rPr>
        <w:t>Causes o</w:t>
      </w:r>
      <w:r w:rsidR="00086742">
        <w:rPr>
          <w:rFonts w:ascii="Verdana" w:hAnsi="Verdana" w:cs="Arial"/>
          <w:sz w:val="20"/>
          <w:szCs w:val="20"/>
        </w:rPr>
        <w:t>f</w:t>
      </w:r>
      <w:r>
        <w:rPr>
          <w:rFonts w:ascii="Verdana" w:hAnsi="Verdana" w:cs="Arial"/>
          <w:sz w:val="20"/>
          <w:szCs w:val="20"/>
        </w:rPr>
        <w:t xml:space="preserve"> a risk eve</w:t>
      </w:r>
      <w:r w:rsidR="000A0EED">
        <w:rPr>
          <w:rFonts w:ascii="Verdana" w:hAnsi="Verdana" w:cs="Arial"/>
          <w:sz w:val="20"/>
          <w:szCs w:val="20"/>
        </w:rPr>
        <w:t xml:space="preserve">nt </w:t>
      </w:r>
      <w:r>
        <w:rPr>
          <w:rFonts w:ascii="Verdana" w:hAnsi="Verdana" w:cs="Arial"/>
          <w:sz w:val="20"/>
          <w:szCs w:val="20"/>
        </w:rPr>
        <w:t>(</w:t>
      </w:r>
      <w:r w:rsidR="002B1FDD" w:rsidRPr="002B1FDD">
        <w:rPr>
          <w:rFonts w:ascii="Verdana" w:hAnsi="Verdana" w:cs="Arial"/>
          <w:sz w:val="20"/>
          <w:szCs w:val="20"/>
        </w:rPr>
        <w:t>contributing factor</w:t>
      </w:r>
      <w:r>
        <w:rPr>
          <w:rFonts w:ascii="Verdana" w:hAnsi="Verdana" w:cs="Arial"/>
          <w:sz w:val="20"/>
          <w:szCs w:val="20"/>
        </w:rPr>
        <w:t>s)</w:t>
      </w:r>
      <w:r w:rsidR="002B1FDD" w:rsidRPr="002B1FDD">
        <w:rPr>
          <w:rFonts w:ascii="Verdana" w:hAnsi="Verdana" w:cs="Arial"/>
          <w:sz w:val="20"/>
          <w:szCs w:val="20"/>
        </w:rPr>
        <w:t xml:space="preserve"> </w:t>
      </w:r>
      <w:r w:rsidR="00086742">
        <w:rPr>
          <w:rFonts w:ascii="Verdana" w:hAnsi="Verdana" w:cs="Arial"/>
          <w:sz w:val="20"/>
          <w:szCs w:val="20"/>
        </w:rPr>
        <w:t>are</w:t>
      </w:r>
      <w:r w:rsidR="00086742" w:rsidRPr="002B1FDD">
        <w:rPr>
          <w:rFonts w:ascii="Verdana" w:hAnsi="Verdana" w:cs="Arial"/>
          <w:sz w:val="20"/>
          <w:szCs w:val="20"/>
        </w:rPr>
        <w:t xml:space="preserve"> </w:t>
      </w:r>
      <w:r w:rsidR="002B1FDD" w:rsidRPr="002B1FDD">
        <w:rPr>
          <w:rFonts w:ascii="Verdana" w:hAnsi="Verdana" w:cs="Arial"/>
          <w:sz w:val="20"/>
          <w:szCs w:val="20"/>
        </w:rPr>
        <w:t xml:space="preserve">anything which may </w:t>
      </w:r>
      <w:r w:rsidR="00322803">
        <w:rPr>
          <w:rFonts w:ascii="Verdana" w:hAnsi="Verdana" w:cs="Arial"/>
          <w:sz w:val="20"/>
          <w:szCs w:val="20"/>
        </w:rPr>
        <w:t>cause the risk event to occur.</w:t>
      </w:r>
      <w:r w:rsidR="001D04CF">
        <w:rPr>
          <w:rFonts w:ascii="Verdana" w:hAnsi="Verdana" w:cs="Arial"/>
          <w:sz w:val="20"/>
          <w:szCs w:val="20"/>
        </w:rPr>
        <w:t>.</w:t>
      </w:r>
      <w:r w:rsidR="002B1FDD" w:rsidRPr="002B1FDD">
        <w:rPr>
          <w:rFonts w:ascii="Verdana" w:hAnsi="Verdana" w:cs="Arial"/>
          <w:sz w:val="20"/>
          <w:szCs w:val="20"/>
        </w:rPr>
        <w:t xml:space="preserve">  Contributing factors can be either external (e.g. Government policy, new regulations, economic environment, media coverage) or internal (e.g. staffing issues) to the University.</w:t>
      </w:r>
      <w:r w:rsidR="000A0EED">
        <w:rPr>
          <w:rFonts w:ascii="Verdana" w:hAnsi="Verdana" w:cs="Arial"/>
          <w:sz w:val="20"/>
          <w:szCs w:val="20"/>
        </w:rPr>
        <w:t xml:space="preserve"> Assessing the causes of a risk will provide a guide to scoring the gross likelihood rating of the risk.</w:t>
      </w:r>
    </w:p>
    <w:p w:rsidR="000A0EED" w:rsidRDefault="000A0EED" w:rsidP="000A4229">
      <w:pPr>
        <w:pStyle w:val="ColorfulList-Accent11"/>
        <w:ind w:left="0"/>
        <w:contextualSpacing w:val="0"/>
        <w:jc w:val="both"/>
        <w:rPr>
          <w:rFonts w:ascii="Verdana" w:hAnsi="Verdana" w:cs="Arial"/>
          <w:sz w:val="20"/>
          <w:szCs w:val="20"/>
        </w:rPr>
      </w:pPr>
      <w:r>
        <w:rPr>
          <w:rFonts w:ascii="Verdana" w:hAnsi="Verdana" w:cs="Arial"/>
          <w:sz w:val="20"/>
          <w:szCs w:val="20"/>
        </w:rPr>
        <w:t xml:space="preserve">Effect of a risk event is a description of what the impact of a risk being realised would be. The effect of a risk will provide a guide to scoring the gross impact risk rating of the risk. </w:t>
      </w:r>
    </w:p>
    <w:p w:rsidR="000A0EED" w:rsidRDefault="000A0EED" w:rsidP="000A4229">
      <w:pPr>
        <w:pStyle w:val="ColorfulList-Accent11"/>
        <w:ind w:left="0"/>
        <w:contextualSpacing w:val="0"/>
        <w:jc w:val="both"/>
        <w:rPr>
          <w:rFonts w:ascii="Verdana" w:hAnsi="Verdana" w:cs="Arial"/>
          <w:sz w:val="20"/>
          <w:szCs w:val="20"/>
        </w:rPr>
      </w:pPr>
    </w:p>
    <w:p w:rsidR="000A0EED" w:rsidRDefault="000A0EED" w:rsidP="000A4229">
      <w:pPr>
        <w:pStyle w:val="ColorfulList-Accent11"/>
        <w:ind w:left="0"/>
        <w:contextualSpacing w:val="0"/>
        <w:jc w:val="both"/>
        <w:rPr>
          <w:rFonts w:ascii="Verdana" w:hAnsi="Verdana" w:cs="Arial"/>
          <w:sz w:val="20"/>
          <w:szCs w:val="20"/>
        </w:rPr>
      </w:pPr>
    </w:p>
    <w:p w:rsidR="002B1FDD" w:rsidRDefault="001D04CF" w:rsidP="002B1FDD">
      <w:pPr>
        <w:pStyle w:val="ColorfulList-Accent11"/>
        <w:ind w:left="0"/>
        <w:contextualSpacing w:val="0"/>
        <w:rPr>
          <w:rFonts w:ascii="Verdana" w:hAnsi="Verdana" w:cs="Arial"/>
          <w:b/>
          <w:sz w:val="20"/>
          <w:szCs w:val="20"/>
        </w:rPr>
      </w:pPr>
      <w:r w:rsidRPr="00254F59">
        <w:rPr>
          <w:rFonts w:ascii="Verdana" w:hAnsi="Verdana" w:cs="Arial"/>
          <w:b/>
          <w:sz w:val="20"/>
          <w:szCs w:val="20"/>
        </w:rPr>
        <w:t>8. Response (Risk Mitigation)</w:t>
      </w:r>
    </w:p>
    <w:p w:rsidR="001D04CF" w:rsidRDefault="001D04CF" w:rsidP="002B1FDD">
      <w:pPr>
        <w:pStyle w:val="ColorfulList-Accent11"/>
        <w:ind w:left="0"/>
        <w:contextualSpacing w:val="0"/>
        <w:rPr>
          <w:rFonts w:ascii="Verdana" w:hAnsi="Verdana" w:cs="Arial"/>
          <w:b/>
          <w:sz w:val="20"/>
          <w:szCs w:val="20"/>
        </w:rPr>
      </w:pPr>
      <w:r>
        <w:rPr>
          <w:rFonts w:ascii="Verdana" w:hAnsi="Verdana" w:cs="Arial"/>
          <w:b/>
          <w:sz w:val="20"/>
          <w:szCs w:val="20"/>
        </w:rPr>
        <w:t>a. Introduction</w:t>
      </w:r>
    </w:p>
    <w:p w:rsidR="001D04CF" w:rsidRPr="001D04CF" w:rsidRDefault="001D04CF" w:rsidP="001D04CF">
      <w:pPr>
        <w:pStyle w:val="Default"/>
        <w:rPr>
          <w:rFonts w:ascii="Verdana" w:hAnsi="Verdana" w:cs="Verdana"/>
          <w:sz w:val="20"/>
          <w:szCs w:val="20"/>
          <w:lang w:val="en-US"/>
        </w:rPr>
      </w:pPr>
      <w:r w:rsidRPr="001D04CF">
        <w:rPr>
          <w:rFonts w:ascii="Verdana" w:hAnsi="Verdana" w:cs="Verdana"/>
          <w:sz w:val="20"/>
          <w:szCs w:val="20"/>
          <w:lang w:val="en-US"/>
        </w:rPr>
        <w:t xml:space="preserve">When risks have been identified, captured and assessed, you need to decide how these will be addressed. </w:t>
      </w:r>
    </w:p>
    <w:p w:rsidR="001D04CF" w:rsidRDefault="001D04CF" w:rsidP="001D04CF">
      <w:pPr>
        <w:pStyle w:val="ColorfulList-Accent11"/>
        <w:ind w:left="0"/>
        <w:contextualSpacing w:val="0"/>
        <w:rPr>
          <w:rFonts w:ascii="Verdana" w:hAnsi="Verdana" w:cs="Verdana"/>
          <w:color w:val="000000"/>
          <w:sz w:val="20"/>
          <w:szCs w:val="20"/>
          <w:lang w:val="en-US"/>
        </w:rPr>
      </w:pPr>
      <w:r w:rsidRPr="001D04CF">
        <w:rPr>
          <w:rFonts w:ascii="Verdana" w:hAnsi="Verdana" w:cs="Verdana"/>
          <w:color w:val="000000"/>
          <w:sz w:val="20"/>
          <w:szCs w:val="20"/>
          <w:lang w:val="en-US"/>
        </w:rPr>
        <w:t xml:space="preserve">As the first step, </w:t>
      </w:r>
      <w:r>
        <w:rPr>
          <w:rFonts w:ascii="Verdana" w:hAnsi="Verdana" w:cs="Verdana"/>
          <w:color w:val="000000"/>
          <w:sz w:val="20"/>
          <w:szCs w:val="20"/>
          <w:lang w:val="en-US"/>
        </w:rPr>
        <w:t xml:space="preserve">you should assess the ‘cost’ of  </w:t>
      </w:r>
      <w:r w:rsidRPr="001D04CF">
        <w:rPr>
          <w:rFonts w:ascii="Verdana" w:hAnsi="Verdana" w:cs="Verdana"/>
          <w:b/>
          <w:bCs/>
          <w:color w:val="000000"/>
          <w:sz w:val="20"/>
          <w:szCs w:val="20"/>
          <w:lang w:val="en-US"/>
        </w:rPr>
        <w:t xml:space="preserve">accepting </w:t>
      </w:r>
      <w:r w:rsidRPr="001D04CF">
        <w:rPr>
          <w:rFonts w:ascii="Verdana" w:hAnsi="Verdana" w:cs="Verdana"/>
          <w:color w:val="000000"/>
          <w:sz w:val="20"/>
          <w:szCs w:val="20"/>
          <w:lang w:val="en-US"/>
        </w:rPr>
        <w:t>the risk. This may be a financial cost or a lost opportunity. You may decide that accepting a particular risk is appropriate and not take any further action and record this on the risk register.</w:t>
      </w:r>
    </w:p>
    <w:p w:rsidR="001D04CF" w:rsidRDefault="001D04CF" w:rsidP="001D04CF">
      <w:pPr>
        <w:autoSpaceDE w:val="0"/>
        <w:autoSpaceDN w:val="0"/>
        <w:adjustRightInd w:val="0"/>
        <w:spacing w:after="0" w:line="240" w:lineRule="auto"/>
        <w:rPr>
          <w:rFonts w:ascii="Verdana" w:hAnsi="Verdana" w:cs="Verdana"/>
          <w:color w:val="000000"/>
          <w:sz w:val="20"/>
          <w:szCs w:val="20"/>
          <w:lang w:val="en-US"/>
        </w:rPr>
      </w:pPr>
      <w:r w:rsidRPr="001D04CF">
        <w:rPr>
          <w:rFonts w:ascii="Verdana" w:hAnsi="Verdana" w:cs="Verdana"/>
          <w:color w:val="000000"/>
          <w:sz w:val="20"/>
          <w:szCs w:val="20"/>
          <w:lang w:val="en-US"/>
        </w:rPr>
        <w:t xml:space="preserve">If you decide further action is needed, there are three options to consider: </w:t>
      </w:r>
    </w:p>
    <w:p w:rsidR="001D04CF" w:rsidRDefault="001D04CF" w:rsidP="001D04CF">
      <w:pPr>
        <w:autoSpaceDE w:val="0"/>
        <w:autoSpaceDN w:val="0"/>
        <w:adjustRightInd w:val="0"/>
        <w:spacing w:after="0" w:line="240" w:lineRule="auto"/>
        <w:rPr>
          <w:rFonts w:ascii="Verdana" w:hAnsi="Verdana" w:cs="Verdana"/>
          <w:color w:val="000000"/>
          <w:sz w:val="20"/>
          <w:szCs w:val="20"/>
          <w:lang w:val="en-US"/>
        </w:rPr>
      </w:pPr>
    </w:p>
    <w:p w:rsidR="001D04CF" w:rsidRDefault="001D04CF" w:rsidP="00254F59">
      <w:pPr>
        <w:numPr>
          <w:ilvl w:val="0"/>
          <w:numId w:val="39"/>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Avoid the risk</w:t>
      </w:r>
    </w:p>
    <w:p w:rsidR="001D04CF" w:rsidRDefault="001D04CF" w:rsidP="001D04CF">
      <w:pPr>
        <w:numPr>
          <w:ilvl w:val="0"/>
          <w:numId w:val="39"/>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Transfer all or part of the risk</w:t>
      </w:r>
    </w:p>
    <w:p w:rsidR="001D04CF" w:rsidRDefault="001D04CF" w:rsidP="00254F59">
      <w:pPr>
        <w:numPr>
          <w:ilvl w:val="0"/>
          <w:numId w:val="39"/>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Mitigate the risk</w:t>
      </w:r>
    </w:p>
    <w:p w:rsidR="001D04CF" w:rsidRPr="001D04CF" w:rsidRDefault="001D04CF" w:rsidP="001D04CF">
      <w:pPr>
        <w:autoSpaceDE w:val="0"/>
        <w:autoSpaceDN w:val="0"/>
        <w:adjustRightInd w:val="0"/>
        <w:spacing w:after="0" w:line="240" w:lineRule="auto"/>
        <w:rPr>
          <w:rFonts w:ascii="Verdana" w:hAnsi="Verdana" w:cs="Verdana"/>
          <w:color w:val="000000"/>
          <w:sz w:val="20"/>
          <w:szCs w:val="20"/>
          <w:lang w:val="en-US"/>
        </w:rPr>
      </w:pPr>
    </w:p>
    <w:p w:rsidR="001D04CF" w:rsidRPr="001D04CF" w:rsidRDefault="001D04CF" w:rsidP="001D04CF">
      <w:pPr>
        <w:autoSpaceDE w:val="0"/>
        <w:autoSpaceDN w:val="0"/>
        <w:adjustRightInd w:val="0"/>
        <w:spacing w:after="0" w:line="240" w:lineRule="auto"/>
        <w:rPr>
          <w:rFonts w:ascii="Verdana" w:hAnsi="Verdana" w:cs="Verdana"/>
          <w:color w:val="000000"/>
          <w:sz w:val="20"/>
          <w:szCs w:val="20"/>
          <w:lang w:val="en-US"/>
        </w:rPr>
      </w:pPr>
    </w:p>
    <w:p w:rsidR="001D04CF" w:rsidRPr="001D04CF" w:rsidRDefault="001D04CF" w:rsidP="001D04CF">
      <w:pPr>
        <w:autoSpaceDE w:val="0"/>
        <w:autoSpaceDN w:val="0"/>
        <w:adjustRightInd w:val="0"/>
        <w:spacing w:after="0" w:line="240" w:lineRule="auto"/>
        <w:rPr>
          <w:rFonts w:ascii="Verdana" w:hAnsi="Verdana" w:cs="Verdana"/>
          <w:color w:val="000000"/>
          <w:sz w:val="20"/>
          <w:szCs w:val="20"/>
          <w:lang w:val="en-US"/>
        </w:rPr>
      </w:pPr>
      <w:r w:rsidRPr="001D04CF">
        <w:rPr>
          <w:rFonts w:ascii="Verdana" w:hAnsi="Verdana" w:cs="Verdana"/>
          <w:color w:val="000000"/>
          <w:sz w:val="20"/>
          <w:szCs w:val="20"/>
          <w:lang w:val="en-US"/>
        </w:rPr>
        <w:t xml:space="preserve">A risk may be </w:t>
      </w:r>
      <w:r w:rsidRPr="001D04CF">
        <w:rPr>
          <w:rFonts w:ascii="Verdana" w:hAnsi="Verdana" w:cs="Verdana"/>
          <w:b/>
          <w:bCs/>
          <w:color w:val="000000"/>
          <w:sz w:val="20"/>
          <w:szCs w:val="20"/>
          <w:lang w:val="en-US"/>
        </w:rPr>
        <w:t xml:space="preserve">avoided </w:t>
      </w:r>
      <w:r w:rsidRPr="001D04CF">
        <w:rPr>
          <w:rFonts w:ascii="Verdana" w:hAnsi="Verdana" w:cs="Verdana"/>
          <w:color w:val="000000"/>
          <w:sz w:val="20"/>
          <w:szCs w:val="20"/>
          <w:lang w:val="en-US"/>
        </w:rPr>
        <w:t xml:space="preserve">by withdrawing from the area of activity but doing so may result in a missed opportunity. </w:t>
      </w:r>
    </w:p>
    <w:p w:rsidR="001D04CF" w:rsidRPr="001D04CF" w:rsidRDefault="001D04CF" w:rsidP="001D04CF">
      <w:pPr>
        <w:autoSpaceDE w:val="0"/>
        <w:autoSpaceDN w:val="0"/>
        <w:adjustRightInd w:val="0"/>
        <w:spacing w:after="0" w:line="240" w:lineRule="auto"/>
        <w:rPr>
          <w:rFonts w:ascii="Verdana" w:hAnsi="Verdana" w:cs="Verdana"/>
          <w:color w:val="000000"/>
          <w:sz w:val="20"/>
          <w:szCs w:val="20"/>
          <w:lang w:val="en-US"/>
        </w:rPr>
      </w:pPr>
      <w:r w:rsidRPr="001D04CF">
        <w:rPr>
          <w:rFonts w:ascii="Verdana" w:hAnsi="Verdana" w:cs="Verdana"/>
          <w:color w:val="000000"/>
          <w:sz w:val="20"/>
          <w:szCs w:val="20"/>
          <w:lang w:val="en-US"/>
        </w:rPr>
        <w:t xml:space="preserve">A risk may be </w:t>
      </w:r>
      <w:r w:rsidRPr="001D04CF">
        <w:rPr>
          <w:rFonts w:ascii="Verdana" w:hAnsi="Verdana" w:cs="Verdana"/>
          <w:b/>
          <w:bCs/>
          <w:color w:val="000000"/>
          <w:sz w:val="20"/>
          <w:szCs w:val="20"/>
          <w:lang w:val="en-US"/>
        </w:rPr>
        <w:t xml:space="preserve">transferred </w:t>
      </w:r>
      <w:r w:rsidRPr="001D04CF">
        <w:rPr>
          <w:rFonts w:ascii="Verdana" w:hAnsi="Verdana" w:cs="Verdana"/>
          <w:color w:val="000000"/>
          <w:sz w:val="20"/>
          <w:szCs w:val="20"/>
          <w:lang w:val="en-US"/>
        </w:rPr>
        <w:t xml:space="preserve">either wholly or in part to a third party, possibly through insurance or a partnership or other contractual arrangement. Generally, it is not possible or cost-effective to insure against all possible business risks. Equally, insurance is not a substitute for risk management as insurers expect policyholders to take all reasonable steps to avoid or minimize the risk of losses. </w:t>
      </w:r>
    </w:p>
    <w:p w:rsidR="001D04CF" w:rsidRDefault="001D04CF" w:rsidP="001D04CF">
      <w:pPr>
        <w:autoSpaceDE w:val="0"/>
        <w:autoSpaceDN w:val="0"/>
        <w:adjustRightInd w:val="0"/>
        <w:spacing w:after="0" w:line="240" w:lineRule="auto"/>
        <w:rPr>
          <w:rFonts w:ascii="Verdana" w:hAnsi="Verdana" w:cs="Verdana"/>
          <w:color w:val="000000"/>
          <w:sz w:val="20"/>
          <w:szCs w:val="20"/>
          <w:lang w:val="en-US"/>
        </w:rPr>
      </w:pPr>
      <w:r w:rsidRPr="001D04CF">
        <w:rPr>
          <w:rFonts w:ascii="Verdana" w:hAnsi="Verdana" w:cs="Verdana"/>
          <w:color w:val="000000"/>
          <w:sz w:val="20"/>
          <w:szCs w:val="20"/>
          <w:lang w:val="en-US"/>
        </w:rPr>
        <w:t xml:space="preserve">In the majority of cases, the next step will be to put in place systems to </w:t>
      </w:r>
      <w:r w:rsidRPr="001D04CF">
        <w:rPr>
          <w:rFonts w:ascii="Verdana" w:hAnsi="Verdana" w:cs="Verdana"/>
          <w:b/>
          <w:bCs/>
          <w:color w:val="000000"/>
          <w:sz w:val="20"/>
          <w:szCs w:val="20"/>
          <w:lang w:val="en-US"/>
        </w:rPr>
        <w:t xml:space="preserve">mitigate </w:t>
      </w:r>
      <w:r w:rsidRPr="001D04CF">
        <w:rPr>
          <w:rFonts w:ascii="Verdana" w:hAnsi="Verdana" w:cs="Verdana"/>
          <w:color w:val="000000"/>
          <w:sz w:val="20"/>
          <w:szCs w:val="20"/>
          <w:lang w:val="en-US"/>
        </w:rPr>
        <w:t>either the likelihood or the impact of the risk. These will include systems addressing the whole operation of the University as well as the areas where risks have been identified. Any system of risk mitigation should provide for:</w:t>
      </w:r>
    </w:p>
    <w:p w:rsidR="001D04CF" w:rsidRPr="001D04CF" w:rsidRDefault="001D04CF" w:rsidP="001D04CF">
      <w:pPr>
        <w:autoSpaceDE w:val="0"/>
        <w:autoSpaceDN w:val="0"/>
        <w:adjustRightInd w:val="0"/>
        <w:spacing w:after="0" w:line="240" w:lineRule="auto"/>
        <w:rPr>
          <w:rFonts w:ascii="Verdana" w:hAnsi="Verdana" w:cs="Verdana"/>
          <w:color w:val="000000"/>
          <w:sz w:val="20"/>
          <w:szCs w:val="20"/>
          <w:lang w:val="en-US"/>
        </w:rPr>
      </w:pPr>
    </w:p>
    <w:p w:rsidR="001D04CF" w:rsidRDefault="001D04CF" w:rsidP="00254F59">
      <w:pPr>
        <w:numPr>
          <w:ilvl w:val="0"/>
          <w:numId w:val="40"/>
        </w:numPr>
        <w:autoSpaceDE w:val="0"/>
        <w:autoSpaceDN w:val="0"/>
        <w:adjustRightInd w:val="0"/>
        <w:spacing w:after="0" w:line="240" w:lineRule="auto"/>
        <w:rPr>
          <w:rFonts w:ascii="Verdana" w:hAnsi="Verdana" w:cs="Verdana"/>
          <w:color w:val="000000"/>
          <w:sz w:val="20"/>
          <w:szCs w:val="20"/>
          <w:lang w:val="en-US"/>
        </w:rPr>
      </w:pPr>
      <w:r w:rsidRPr="001D04CF">
        <w:rPr>
          <w:rFonts w:ascii="Verdana" w:hAnsi="Verdana" w:cs="Verdana"/>
          <w:color w:val="000000"/>
          <w:sz w:val="20"/>
          <w:szCs w:val="20"/>
          <w:lang w:val="en-US"/>
        </w:rPr>
        <w:t>Effective and efficient operation of the institution</w:t>
      </w:r>
    </w:p>
    <w:p w:rsidR="001D04CF" w:rsidRDefault="001D04CF" w:rsidP="00254F59">
      <w:pPr>
        <w:numPr>
          <w:ilvl w:val="0"/>
          <w:numId w:val="40"/>
        </w:numPr>
        <w:autoSpaceDE w:val="0"/>
        <w:autoSpaceDN w:val="0"/>
        <w:adjustRightInd w:val="0"/>
        <w:spacing w:after="0" w:line="240" w:lineRule="auto"/>
        <w:rPr>
          <w:rFonts w:ascii="Verdana" w:hAnsi="Verdana" w:cs="Verdana"/>
          <w:color w:val="000000"/>
          <w:sz w:val="20"/>
          <w:szCs w:val="20"/>
          <w:lang w:val="en-US"/>
        </w:rPr>
      </w:pPr>
      <w:r w:rsidRPr="001D04CF">
        <w:rPr>
          <w:rFonts w:ascii="Verdana" w:hAnsi="Verdana" w:cs="Verdana"/>
          <w:color w:val="000000"/>
          <w:sz w:val="20"/>
          <w:szCs w:val="20"/>
          <w:lang w:val="en-US"/>
        </w:rPr>
        <w:t>Effective internal control</w:t>
      </w:r>
      <w:r>
        <w:rPr>
          <w:rFonts w:ascii="Verdana" w:hAnsi="Verdana" w:cs="Verdana"/>
          <w:color w:val="000000"/>
          <w:sz w:val="20"/>
          <w:szCs w:val="20"/>
          <w:lang w:val="en-US"/>
        </w:rPr>
        <w:t>s</w:t>
      </w:r>
    </w:p>
    <w:p w:rsidR="001D04CF" w:rsidRDefault="001D04CF" w:rsidP="001D04CF">
      <w:pPr>
        <w:numPr>
          <w:ilvl w:val="0"/>
          <w:numId w:val="40"/>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Compliance with law and legislation</w:t>
      </w:r>
    </w:p>
    <w:p w:rsidR="001D04CF" w:rsidRDefault="001D04CF" w:rsidP="00254F59">
      <w:pPr>
        <w:autoSpaceDE w:val="0"/>
        <w:autoSpaceDN w:val="0"/>
        <w:adjustRightInd w:val="0"/>
        <w:spacing w:after="0" w:line="240" w:lineRule="auto"/>
        <w:ind w:left="720"/>
        <w:rPr>
          <w:rFonts w:ascii="Verdana" w:hAnsi="Verdana" w:cs="Verdana"/>
          <w:color w:val="000000"/>
          <w:sz w:val="20"/>
          <w:szCs w:val="20"/>
          <w:lang w:val="en-US"/>
        </w:rPr>
      </w:pPr>
    </w:p>
    <w:p w:rsidR="002B1FDD" w:rsidRPr="002B1FDD" w:rsidRDefault="00685BE0" w:rsidP="00254F59">
      <w:pPr>
        <w:pStyle w:val="ColorfulList-Accent11"/>
        <w:spacing w:after="0" w:line="240" w:lineRule="auto"/>
        <w:ind w:left="0"/>
        <w:contextualSpacing w:val="0"/>
        <w:rPr>
          <w:rFonts w:ascii="Verdana" w:hAnsi="Verdana" w:cs="Arial"/>
          <w:sz w:val="20"/>
          <w:szCs w:val="20"/>
        </w:rPr>
      </w:pPr>
      <w:r>
        <w:rPr>
          <w:rFonts w:ascii="Verdana" w:hAnsi="Verdana" w:cs="Arial"/>
          <w:sz w:val="20"/>
          <w:szCs w:val="20"/>
        </w:rPr>
        <w:t xml:space="preserve">b. </w:t>
      </w:r>
      <w:r w:rsidRPr="00254F59">
        <w:rPr>
          <w:rFonts w:ascii="Verdana" w:hAnsi="Verdana" w:cs="Arial"/>
          <w:b/>
          <w:sz w:val="20"/>
          <w:szCs w:val="20"/>
        </w:rPr>
        <w:t>Controls</w:t>
      </w:r>
      <w:r>
        <w:rPr>
          <w:rFonts w:ascii="Verdana" w:hAnsi="Verdana" w:cs="Arial"/>
          <w:sz w:val="20"/>
          <w:szCs w:val="20"/>
        </w:rPr>
        <w:t xml:space="preserve">, </w:t>
      </w:r>
      <w:r w:rsidR="002B1FDD" w:rsidRPr="002B1FDD">
        <w:rPr>
          <w:rFonts w:ascii="Verdana" w:hAnsi="Verdana" w:cs="Arial"/>
          <w:b/>
          <w:sz w:val="20"/>
          <w:szCs w:val="20"/>
        </w:rPr>
        <w:t xml:space="preserve">Mitigating actions </w:t>
      </w:r>
      <w:r>
        <w:rPr>
          <w:rFonts w:ascii="Verdana" w:hAnsi="Verdana" w:cs="Arial"/>
          <w:b/>
          <w:sz w:val="20"/>
          <w:szCs w:val="20"/>
        </w:rPr>
        <w:t>and Sources of Assurance</w:t>
      </w:r>
    </w:p>
    <w:p w:rsidR="00685BE0" w:rsidRDefault="00685BE0" w:rsidP="000A4229">
      <w:pPr>
        <w:pStyle w:val="ColorfulList-Accent11"/>
        <w:ind w:left="0"/>
        <w:contextualSpacing w:val="0"/>
        <w:jc w:val="both"/>
        <w:rPr>
          <w:rFonts w:ascii="Verdana" w:hAnsi="Verdana" w:cs="Arial"/>
          <w:i/>
          <w:sz w:val="20"/>
          <w:szCs w:val="20"/>
        </w:rPr>
      </w:pPr>
    </w:p>
    <w:p w:rsidR="002B1FDD" w:rsidRPr="002B1FDD" w:rsidRDefault="001D04CF" w:rsidP="00254F59">
      <w:pPr>
        <w:pStyle w:val="ColorfulList-Accent11"/>
        <w:ind w:left="0"/>
        <w:rPr>
          <w:rFonts w:ascii="Verdana" w:hAnsi="Verdana" w:cs="Arial"/>
          <w:sz w:val="20"/>
          <w:szCs w:val="20"/>
        </w:rPr>
      </w:pPr>
      <w:r>
        <w:rPr>
          <w:rFonts w:ascii="Verdana" w:hAnsi="Verdana" w:cs="Arial"/>
          <w:i/>
          <w:sz w:val="20"/>
          <w:szCs w:val="20"/>
        </w:rPr>
        <w:t xml:space="preserve">Controls </w:t>
      </w:r>
    </w:p>
    <w:p w:rsidR="002B1FDD" w:rsidRPr="002B1FDD" w:rsidRDefault="002B1FDD" w:rsidP="000A4229">
      <w:pPr>
        <w:spacing w:after="0" w:line="240" w:lineRule="auto"/>
        <w:jc w:val="both"/>
        <w:rPr>
          <w:rFonts w:ascii="Verdana" w:hAnsi="Verdana" w:cs="Arial"/>
          <w:sz w:val="20"/>
          <w:szCs w:val="20"/>
        </w:rPr>
      </w:pPr>
      <w:r w:rsidRPr="002B1FDD">
        <w:rPr>
          <w:rFonts w:ascii="Verdana" w:hAnsi="Verdana" w:cs="Arial"/>
          <w:sz w:val="20"/>
          <w:szCs w:val="20"/>
        </w:rPr>
        <w:t xml:space="preserve">A control can be defined as ‘what you do’ ,to manage a risk. They should be things that can be easily tested for assurance that their design is appropriate and effective at mitigating the relevant risk.  </w:t>
      </w:r>
    </w:p>
    <w:p w:rsidR="002B1FDD" w:rsidRPr="002B1FDD" w:rsidRDefault="002B1FDD" w:rsidP="000A4229">
      <w:pPr>
        <w:spacing w:after="0" w:line="240" w:lineRule="auto"/>
        <w:jc w:val="both"/>
        <w:rPr>
          <w:rFonts w:ascii="Verdana" w:hAnsi="Verdana" w:cs="Arial"/>
          <w:sz w:val="20"/>
          <w:szCs w:val="20"/>
        </w:rPr>
      </w:pPr>
    </w:p>
    <w:p w:rsidR="002B1FDD" w:rsidRDefault="002B1FDD" w:rsidP="000A4229">
      <w:pPr>
        <w:pStyle w:val="ColorfulList-Accent11"/>
        <w:ind w:left="0"/>
        <w:contextualSpacing w:val="0"/>
        <w:jc w:val="both"/>
        <w:rPr>
          <w:rFonts w:ascii="Verdana" w:hAnsi="Verdana" w:cs="Arial"/>
          <w:bCs/>
          <w:sz w:val="20"/>
          <w:szCs w:val="20"/>
        </w:rPr>
      </w:pPr>
      <w:r w:rsidRPr="002B1FDD">
        <w:rPr>
          <w:rFonts w:ascii="Verdana" w:hAnsi="Verdana" w:cs="Arial"/>
          <w:sz w:val="20"/>
          <w:szCs w:val="20"/>
        </w:rPr>
        <w:t xml:space="preserve">To identify controls that are already in place, it may be helpful to ask the question </w:t>
      </w:r>
      <w:r w:rsidRPr="002B1FDD">
        <w:rPr>
          <w:rFonts w:ascii="Verdana" w:hAnsi="Verdana" w:cs="Arial"/>
          <w:bCs/>
          <w:i/>
          <w:sz w:val="20"/>
          <w:szCs w:val="20"/>
        </w:rPr>
        <w:t>‘what do I rely on?’</w:t>
      </w:r>
      <w:r w:rsidRPr="002B1FDD">
        <w:rPr>
          <w:rFonts w:ascii="Verdana" w:hAnsi="Verdana" w:cs="Arial"/>
          <w:bCs/>
          <w:sz w:val="20"/>
          <w:szCs w:val="20"/>
        </w:rPr>
        <w:t>.  For new risks, consider whether you want the controls to be</w:t>
      </w:r>
      <w:r w:rsidRPr="002B1FDD">
        <w:rPr>
          <w:rFonts w:ascii="Verdana" w:hAnsi="Verdana" w:cs="Arial"/>
          <w:sz w:val="20"/>
          <w:szCs w:val="20"/>
        </w:rPr>
        <w:t xml:space="preserve"> preventative or detective. </w:t>
      </w:r>
      <w:r w:rsidRPr="002B1FDD">
        <w:rPr>
          <w:rFonts w:ascii="Verdana" w:hAnsi="Verdana" w:cs="Arial"/>
          <w:bCs/>
          <w:sz w:val="20"/>
          <w:szCs w:val="20"/>
        </w:rPr>
        <w:t>Less may also be more. Excessive layers of control, especially for lower level risks, may slow down business processes and increase costs.</w:t>
      </w:r>
    </w:p>
    <w:p w:rsidR="00D91F23" w:rsidRPr="00254F59" w:rsidRDefault="00D91F23" w:rsidP="000A4229">
      <w:pPr>
        <w:pStyle w:val="ColorfulList-Accent11"/>
        <w:ind w:left="0"/>
        <w:contextualSpacing w:val="0"/>
        <w:jc w:val="both"/>
        <w:rPr>
          <w:rFonts w:ascii="Verdana" w:hAnsi="Verdana" w:cs="Arial"/>
          <w:bCs/>
          <w:i/>
          <w:sz w:val="20"/>
          <w:szCs w:val="20"/>
        </w:rPr>
      </w:pPr>
      <w:r>
        <w:rPr>
          <w:rFonts w:ascii="Verdana" w:hAnsi="Verdana" w:cs="Arial"/>
          <w:bCs/>
          <w:i/>
          <w:sz w:val="20"/>
          <w:szCs w:val="20"/>
        </w:rPr>
        <w:t>Mitigating Actions</w:t>
      </w:r>
    </w:p>
    <w:p w:rsidR="00D91F23" w:rsidRPr="00D91F23" w:rsidRDefault="00D91F23" w:rsidP="00EE43FA">
      <w:pPr>
        <w:pStyle w:val="ColorfulList-Accent11"/>
        <w:spacing w:before="120" w:after="120"/>
        <w:ind w:left="0"/>
        <w:jc w:val="both"/>
        <w:rPr>
          <w:rFonts w:ascii="Verdana" w:hAnsi="Verdana" w:cs="Arial"/>
          <w:sz w:val="20"/>
          <w:szCs w:val="20"/>
        </w:rPr>
      </w:pPr>
      <w:r w:rsidRPr="00254F59">
        <w:rPr>
          <w:rFonts w:ascii="Verdana" w:hAnsi="Verdana"/>
          <w:sz w:val="20"/>
          <w:szCs w:val="20"/>
        </w:rPr>
        <w:t>A mitigating action is generally a policy/strategy being undertaken to manage the risk. Mitigating actions plans should be recorded against each risk that has been listed in the risk register with appropriate milestone dates. Each risk mitigation action should identify:</w:t>
      </w:r>
    </w:p>
    <w:p w:rsidR="00D91F23" w:rsidRDefault="00D91F23" w:rsidP="00EE43FA">
      <w:pPr>
        <w:pStyle w:val="ColorfulList-Accent11"/>
        <w:spacing w:before="120" w:after="120"/>
        <w:ind w:left="0"/>
        <w:jc w:val="both"/>
        <w:rPr>
          <w:rFonts w:ascii="Verdana" w:hAnsi="Verdana" w:cs="Arial"/>
          <w:sz w:val="20"/>
          <w:szCs w:val="20"/>
        </w:rPr>
      </w:pPr>
    </w:p>
    <w:p w:rsidR="00D91F23" w:rsidRDefault="00D91F23" w:rsidP="00254F59">
      <w:pPr>
        <w:pStyle w:val="ColorfulList-Accent11"/>
        <w:numPr>
          <w:ilvl w:val="0"/>
          <w:numId w:val="41"/>
        </w:numPr>
        <w:spacing w:before="120" w:after="120"/>
        <w:jc w:val="both"/>
        <w:rPr>
          <w:rFonts w:ascii="Verdana" w:hAnsi="Verdana" w:cs="Arial"/>
          <w:sz w:val="20"/>
          <w:szCs w:val="20"/>
        </w:rPr>
      </w:pPr>
      <w:r>
        <w:rPr>
          <w:rFonts w:ascii="Verdana" w:hAnsi="Verdana" w:cs="Arial"/>
          <w:sz w:val="20"/>
          <w:szCs w:val="20"/>
        </w:rPr>
        <w:t>The action owner</w:t>
      </w:r>
    </w:p>
    <w:p w:rsidR="00D91F23" w:rsidRDefault="00D91F23" w:rsidP="00254F59">
      <w:pPr>
        <w:pStyle w:val="ColorfulList-Accent11"/>
        <w:numPr>
          <w:ilvl w:val="0"/>
          <w:numId w:val="41"/>
        </w:numPr>
        <w:spacing w:before="120" w:after="120"/>
        <w:jc w:val="both"/>
        <w:rPr>
          <w:rFonts w:ascii="Verdana" w:hAnsi="Verdana" w:cs="Arial"/>
          <w:sz w:val="20"/>
          <w:szCs w:val="20"/>
        </w:rPr>
      </w:pPr>
      <w:r>
        <w:rPr>
          <w:rFonts w:ascii="Verdana" w:hAnsi="Verdana" w:cs="Arial"/>
          <w:sz w:val="20"/>
          <w:szCs w:val="20"/>
        </w:rPr>
        <w:t>The main actions that will be taken and the key milestone dates</w:t>
      </w:r>
    </w:p>
    <w:p w:rsidR="00D91F23" w:rsidRDefault="00D91F23" w:rsidP="00254F59">
      <w:pPr>
        <w:pStyle w:val="ColorfulList-Accent11"/>
        <w:numPr>
          <w:ilvl w:val="0"/>
          <w:numId w:val="41"/>
        </w:numPr>
        <w:spacing w:before="120" w:after="120"/>
        <w:jc w:val="both"/>
        <w:rPr>
          <w:rFonts w:ascii="Verdana" w:hAnsi="Verdana" w:cs="Arial"/>
          <w:sz w:val="20"/>
          <w:szCs w:val="20"/>
        </w:rPr>
      </w:pPr>
      <w:r>
        <w:rPr>
          <w:rFonts w:ascii="Verdana" w:hAnsi="Verdana" w:cs="Arial"/>
          <w:sz w:val="20"/>
          <w:szCs w:val="20"/>
        </w:rPr>
        <w:t>A regular update on progress against the identified milestones</w:t>
      </w:r>
    </w:p>
    <w:p w:rsidR="00D91F23" w:rsidRPr="005C096F" w:rsidRDefault="00D91F23" w:rsidP="00EE43FA">
      <w:pPr>
        <w:pStyle w:val="ColorfulList-Accent11"/>
        <w:spacing w:before="120" w:after="120"/>
        <w:ind w:left="0"/>
        <w:jc w:val="both"/>
        <w:rPr>
          <w:rFonts w:ascii="Verdana" w:hAnsi="Verdana" w:cs="Arial"/>
          <w:sz w:val="20"/>
          <w:szCs w:val="20"/>
        </w:rPr>
      </w:pPr>
    </w:p>
    <w:p w:rsidR="005C096F" w:rsidRPr="005C096F" w:rsidRDefault="005C096F" w:rsidP="005C096F">
      <w:pPr>
        <w:pStyle w:val="Default"/>
        <w:rPr>
          <w:rFonts w:ascii="Verdana" w:hAnsi="Verdana" w:cs="Verdana"/>
          <w:sz w:val="20"/>
          <w:szCs w:val="20"/>
          <w:lang w:val="en-US"/>
        </w:rPr>
      </w:pPr>
      <w:r w:rsidRPr="00254F59">
        <w:rPr>
          <w:rFonts w:ascii="Verdana" w:hAnsi="Verdana"/>
          <w:sz w:val="20"/>
          <w:szCs w:val="20"/>
        </w:rPr>
        <w:lastRenderedPageBreak/>
        <w:t xml:space="preserve">This part of the risk management process should be dynamic. Ideally this </w:t>
      </w:r>
      <w:r w:rsidR="000A0EED">
        <w:rPr>
          <w:rFonts w:ascii="Verdana" w:hAnsi="Verdana"/>
          <w:sz w:val="20"/>
          <w:szCs w:val="20"/>
        </w:rPr>
        <w:t>part of the register</w:t>
      </w:r>
      <w:r w:rsidRPr="00254F59">
        <w:rPr>
          <w:rFonts w:ascii="Verdana" w:hAnsi="Verdana"/>
          <w:sz w:val="20"/>
          <w:szCs w:val="20"/>
        </w:rPr>
        <w:t>should capture relatively short term actions (to be done within 1 to 6 months) which can add to risk mitigation, and which can be updated at each refresh of the Risk Register. Actions can change from one version to the next, and the person allocated to the action (which can be someone other than then Risk Owner. Try to avoid any action which is ‘ongoing’ – if it costant risk mitigation, it belongs to the controls; or if it’s an action that is not complete, it may not be delivering good risk mitigation.</w:t>
      </w:r>
      <w:r>
        <w:rPr>
          <w:sz w:val="20"/>
          <w:szCs w:val="20"/>
        </w:rPr>
        <w:t xml:space="preserve">  </w:t>
      </w:r>
      <w:r w:rsidRPr="005C096F">
        <w:rPr>
          <w:rFonts w:ascii="Verdana" w:hAnsi="Verdana" w:cs="Verdana"/>
          <w:sz w:val="20"/>
          <w:szCs w:val="20"/>
          <w:lang w:val="en-US"/>
        </w:rPr>
        <w:t xml:space="preserve">These actions add a process of continuous improvement of risk management. </w:t>
      </w:r>
    </w:p>
    <w:p w:rsidR="005C096F" w:rsidRDefault="005C096F" w:rsidP="005C096F">
      <w:pPr>
        <w:pStyle w:val="ColorfulList-Accent11"/>
        <w:spacing w:before="120" w:after="120"/>
        <w:ind w:left="0"/>
        <w:jc w:val="both"/>
        <w:rPr>
          <w:sz w:val="20"/>
          <w:szCs w:val="20"/>
        </w:rPr>
      </w:pPr>
      <w:r w:rsidRPr="005C096F">
        <w:rPr>
          <w:rFonts w:ascii="Verdana" w:hAnsi="Verdana" w:cs="Verdana"/>
          <w:color w:val="000000"/>
          <w:sz w:val="20"/>
          <w:szCs w:val="20"/>
          <w:lang w:val="en-US"/>
        </w:rPr>
        <w:t>It should be noted that risk management activities may have an impact on different areas of the organisation. For example, a mitigating action taken to control costs in one department might have a negative impact on service delivery for another. In such cases it would be expected that any affected areas be consulted and Executive approval sought for any changes which would have a wide-reaching impact on another area of strategic importance.</w:t>
      </w:r>
    </w:p>
    <w:p w:rsidR="005C096F" w:rsidRDefault="005C096F" w:rsidP="00EE43FA">
      <w:pPr>
        <w:pStyle w:val="ColorfulList-Accent11"/>
        <w:spacing w:before="120" w:after="120"/>
        <w:ind w:left="0"/>
        <w:jc w:val="both"/>
        <w:rPr>
          <w:sz w:val="20"/>
          <w:szCs w:val="20"/>
        </w:rPr>
      </w:pPr>
    </w:p>
    <w:p w:rsidR="00D91F23" w:rsidRDefault="00D91F23" w:rsidP="00EE43FA">
      <w:pPr>
        <w:pStyle w:val="ColorfulList-Accent11"/>
        <w:spacing w:before="120" w:after="120"/>
        <w:ind w:left="0"/>
        <w:jc w:val="both"/>
        <w:rPr>
          <w:rFonts w:ascii="Verdana" w:hAnsi="Verdana" w:cs="Arial"/>
          <w:sz w:val="20"/>
          <w:szCs w:val="20"/>
        </w:rPr>
      </w:pPr>
    </w:p>
    <w:p w:rsidR="002B1FDD" w:rsidRPr="002B1FDD" w:rsidRDefault="002B1FDD" w:rsidP="00254F59">
      <w:pPr>
        <w:pStyle w:val="ColorfulList-Accent11"/>
        <w:spacing w:after="0" w:line="240" w:lineRule="auto"/>
        <w:ind w:left="0"/>
        <w:contextualSpacing w:val="0"/>
        <w:rPr>
          <w:rFonts w:ascii="Verdana" w:hAnsi="Verdana" w:cs="Arial"/>
          <w:sz w:val="20"/>
          <w:szCs w:val="20"/>
        </w:rPr>
      </w:pPr>
      <w:r w:rsidRPr="00254F59">
        <w:rPr>
          <w:rFonts w:ascii="Verdana" w:hAnsi="Verdana" w:cs="Arial"/>
          <w:i/>
          <w:sz w:val="20"/>
          <w:szCs w:val="20"/>
        </w:rPr>
        <w:t>Sources of assurance</w:t>
      </w:r>
      <w:r w:rsidRPr="00254F59">
        <w:rPr>
          <w:rFonts w:ascii="Verdana" w:hAnsi="Verdana" w:cs="Arial"/>
          <w:i/>
          <w:sz w:val="20"/>
          <w:szCs w:val="20"/>
        </w:rPr>
        <w:br/>
      </w:r>
    </w:p>
    <w:p w:rsidR="002B1FDD" w:rsidRPr="002B1FDD" w:rsidRDefault="002B1FDD" w:rsidP="002B1FDD">
      <w:pPr>
        <w:pStyle w:val="ColorfulList-Accent11"/>
        <w:spacing w:before="120" w:after="120"/>
        <w:ind w:left="0"/>
        <w:rPr>
          <w:rFonts w:ascii="Verdana" w:hAnsi="Verdana" w:cs="Arial"/>
          <w:sz w:val="20"/>
          <w:szCs w:val="20"/>
        </w:rPr>
      </w:pPr>
      <w:r w:rsidRPr="002B1FDD">
        <w:rPr>
          <w:rFonts w:ascii="Verdana" w:hAnsi="Verdana" w:cs="Arial"/>
          <w:sz w:val="20"/>
          <w:szCs w:val="20"/>
        </w:rPr>
        <w:t>A source of assurance can be defined as evidence that can prove that a) our assessment of net risk level is correct and b) our controls are in place and working.  They could be:</w:t>
      </w:r>
    </w:p>
    <w:p w:rsidR="002B1FDD" w:rsidRPr="002B1FDD" w:rsidRDefault="002B1FDD" w:rsidP="002B1FDD">
      <w:pPr>
        <w:pStyle w:val="ColorfulList-Accent11"/>
        <w:spacing w:before="120" w:after="120"/>
        <w:ind w:left="0"/>
        <w:rPr>
          <w:rFonts w:ascii="Verdana" w:hAnsi="Verdana" w:cs="Arial"/>
          <w:sz w:val="20"/>
          <w:szCs w:val="20"/>
        </w:rPr>
      </w:pPr>
    </w:p>
    <w:p w:rsidR="002B1FDD" w:rsidRPr="002B1FDD" w:rsidRDefault="002B1FDD" w:rsidP="002B1FDD">
      <w:pPr>
        <w:pStyle w:val="ColorfulList-Accent11"/>
        <w:numPr>
          <w:ilvl w:val="0"/>
          <w:numId w:val="8"/>
        </w:numPr>
        <w:spacing w:before="120" w:after="120" w:line="240" w:lineRule="auto"/>
        <w:rPr>
          <w:rFonts w:ascii="Verdana" w:hAnsi="Verdana" w:cs="Arial"/>
          <w:sz w:val="20"/>
          <w:szCs w:val="20"/>
        </w:rPr>
      </w:pPr>
      <w:r w:rsidRPr="002B1FDD">
        <w:rPr>
          <w:rFonts w:ascii="Verdana" w:hAnsi="Verdana" w:cs="Arial"/>
          <w:sz w:val="20"/>
          <w:szCs w:val="20"/>
        </w:rPr>
        <w:t xml:space="preserve">from internal and/or external sources, for example, minutes of meetings or HEFCW documents, </w:t>
      </w:r>
      <w:r w:rsidR="005C096F">
        <w:rPr>
          <w:rFonts w:ascii="Verdana" w:hAnsi="Verdana" w:cs="Arial"/>
          <w:sz w:val="20"/>
          <w:szCs w:val="20"/>
        </w:rPr>
        <w:t>Faculty</w:t>
      </w:r>
      <w:r w:rsidR="005C096F" w:rsidRPr="002B1FDD">
        <w:rPr>
          <w:rFonts w:ascii="Verdana" w:hAnsi="Verdana" w:cs="Arial"/>
          <w:sz w:val="20"/>
          <w:szCs w:val="20"/>
        </w:rPr>
        <w:t xml:space="preserve"> </w:t>
      </w:r>
      <w:r w:rsidRPr="002B1FDD">
        <w:rPr>
          <w:rFonts w:ascii="Verdana" w:hAnsi="Verdana" w:cs="Arial"/>
          <w:sz w:val="20"/>
          <w:szCs w:val="20"/>
        </w:rPr>
        <w:t>/departmental plans;</w:t>
      </w:r>
    </w:p>
    <w:p w:rsidR="002B1FDD" w:rsidRPr="002B1FDD" w:rsidRDefault="002B1FDD" w:rsidP="002B1FDD">
      <w:pPr>
        <w:pStyle w:val="ColorfulList-Accent11"/>
        <w:numPr>
          <w:ilvl w:val="0"/>
          <w:numId w:val="8"/>
        </w:numPr>
        <w:spacing w:before="120" w:after="120" w:line="240" w:lineRule="auto"/>
        <w:rPr>
          <w:rFonts w:ascii="Verdana" w:hAnsi="Verdana" w:cs="Arial"/>
          <w:sz w:val="20"/>
          <w:szCs w:val="20"/>
          <w:lang w:eastAsia="en-GB"/>
        </w:rPr>
      </w:pPr>
      <w:r w:rsidRPr="002B1FDD">
        <w:rPr>
          <w:rFonts w:ascii="Verdana" w:hAnsi="Verdana" w:cs="Arial"/>
          <w:sz w:val="20"/>
          <w:szCs w:val="20"/>
          <w:lang w:eastAsia="en-GB"/>
        </w:rPr>
        <w:t>recent and readily accessible;</w:t>
      </w:r>
    </w:p>
    <w:p w:rsidR="002B1FDD" w:rsidRPr="002B1FDD" w:rsidRDefault="002B1FDD" w:rsidP="002B1FDD">
      <w:pPr>
        <w:pStyle w:val="ColorfulList-Accent11"/>
        <w:numPr>
          <w:ilvl w:val="0"/>
          <w:numId w:val="8"/>
        </w:numPr>
        <w:spacing w:before="120" w:after="120" w:line="240" w:lineRule="auto"/>
        <w:rPr>
          <w:rFonts w:ascii="Verdana" w:hAnsi="Verdana" w:cs="Arial"/>
          <w:sz w:val="20"/>
          <w:szCs w:val="20"/>
          <w:lang w:eastAsia="en-GB"/>
        </w:rPr>
      </w:pPr>
      <w:r w:rsidRPr="002B1FDD">
        <w:rPr>
          <w:rFonts w:ascii="Verdana" w:hAnsi="Verdana" w:cs="Arial"/>
          <w:sz w:val="20"/>
          <w:szCs w:val="20"/>
          <w:lang w:eastAsia="en-GB"/>
        </w:rPr>
        <w:t>robust enough for the Risk Management Committee to place reliance on them in determining risk levels; and</w:t>
      </w:r>
    </w:p>
    <w:p w:rsidR="002B1FDD" w:rsidRPr="002B1FDD" w:rsidRDefault="002B1FDD" w:rsidP="000A4229">
      <w:pPr>
        <w:pStyle w:val="ColorfulList-Accent11"/>
        <w:numPr>
          <w:ilvl w:val="0"/>
          <w:numId w:val="8"/>
        </w:numPr>
        <w:spacing w:before="120" w:after="120" w:line="240" w:lineRule="auto"/>
        <w:jc w:val="both"/>
        <w:rPr>
          <w:rFonts w:ascii="Verdana" w:hAnsi="Verdana" w:cs="Arial"/>
          <w:b/>
          <w:sz w:val="20"/>
          <w:szCs w:val="20"/>
        </w:rPr>
      </w:pPr>
      <w:r w:rsidRPr="002B1FDD">
        <w:rPr>
          <w:rFonts w:ascii="Verdana" w:hAnsi="Verdana" w:cs="Arial"/>
          <w:sz w:val="20"/>
          <w:szCs w:val="20"/>
        </w:rPr>
        <w:t>aligned to a control and/or mitigating action.</w:t>
      </w:r>
    </w:p>
    <w:p w:rsidR="002B1FDD" w:rsidRPr="002B1FDD" w:rsidRDefault="002B1FDD" w:rsidP="000A4229">
      <w:pPr>
        <w:pStyle w:val="ColorfulList-Accent11"/>
        <w:ind w:left="0"/>
        <w:contextualSpacing w:val="0"/>
        <w:jc w:val="both"/>
        <w:rPr>
          <w:rFonts w:ascii="Verdana" w:hAnsi="Verdana" w:cs="Arial"/>
          <w:sz w:val="20"/>
          <w:szCs w:val="20"/>
        </w:rPr>
      </w:pPr>
    </w:p>
    <w:p w:rsidR="002B1FDD" w:rsidRPr="002B1FDD" w:rsidRDefault="002B1FDD" w:rsidP="000A4229">
      <w:pPr>
        <w:pStyle w:val="ColorfulList-Accent11"/>
        <w:ind w:left="0"/>
        <w:contextualSpacing w:val="0"/>
        <w:jc w:val="both"/>
        <w:rPr>
          <w:rFonts w:ascii="Verdana" w:hAnsi="Verdana" w:cs="Arial"/>
          <w:sz w:val="20"/>
          <w:szCs w:val="20"/>
        </w:rPr>
      </w:pPr>
      <w:r w:rsidRPr="002B1FDD">
        <w:rPr>
          <w:rFonts w:ascii="Verdana" w:hAnsi="Verdana" w:cs="Arial"/>
          <w:sz w:val="20"/>
          <w:szCs w:val="20"/>
        </w:rPr>
        <w:t>In terms of detail, ‘</w:t>
      </w:r>
      <w:r w:rsidR="005C096F">
        <w:rPr>
          <w:rFonts w:ascii="Verdana" w:hAnsi="Verdana" w:cs="Arial"/>
          <w:sz w:val="20"/>
          <w:szCs w:val="20"/>
        </w:rPr>
        <w:t>Faculty</w:t>
      </w:r>
      <w:r w:rsidR="005C096F" w:rsidRPr="002B1FDD">
        <w:rPr>
          <w:rFonts w:ascii="Verdana" w:hAnsi="Verdana" w:cs="Arial"/>
          <w:sz w:val="20"/>
          <w:szCs w:val="20"/>
        </w:rPr>
        <w:t xml:space="preserve"> </w:t>
      </w:r>
      <w:r w:rsidRPr="002B1FDD">
        <w:rPr>
          <w:rFonts w:ascii="Verdana" w:hAnsi="Verdana" w:cs="Arial"/>
          <w:sz w:val="20"/>
          <w:szCs w:val="20"/>
        </w:rPr>
        <w:t xml:space="preserve">/ Departmental Meeting Minutes’, for example, is sufficient for Departmental Risk Registers; there is no need to list exact meeting dates, as long as compilers are satisfied that the relevant documents could be found for audit purposes.   However, reference to specific documents, for example, internal audit reports, should be dated for clarity.  </w:t>
      </w:r>
    </w:p>
    <w:p w:rsidR="002B1FDD" w:rsidRPr="002B1FDD" w:rsidRDefault="002B1FDD" w:rsidP="000A4229">
      <w:pPr>
        <w:pStyle w:val="ColorfulList-Accent11"/>
        <w:ind w:left="0"/>
        <w:contextualSpacing w:val="0"/>
        <w:jc w:val="both"/>
        <w:rPr>
          <w:rFonts w:ascii="Verdana" w:hAnsi="Verdana" w:cs="Arial"/>
          <w:sz w:val="20"/>
          <w:szCs w:val="20"/>
        </w:rPr>
      </w:pPr>
      <w:r w:rsidRPr="002B1FDD">
        <w:rPr>
          <w:rFonts w:ascii="Verdana" w:hAnsi="Verdana" w:cs="Arial"/>
          <w:sz w:val="20"/>
          <w:szCs w:val="20"/>
        </w:rPr>
        <w:t>It is good practice to consider the “three lines of defence assurance model” when considering the provision of assurance.  The basic premise of the model is that the higher the line of defence, the greater the degree of objectivity and independen</w:t>
      </w:r>
      <w:r w:rsidR="00550E15">
        <w:rPr>
          <w:rFonts w:ascii="Verdana" w:hAnsi="Verdana" w:cs="Arial"/>
          <w:sz w:val="20"/>
          <w:szCs w:val="20"/>
        </w:rPr>
        <w:t>ce</w:t>
      </w:r>
      <w:r w:rsidR="000E6498">
        <w:rPr>
          <w:rFonts w:ascii="Verdana" w:hAnsi="Verdana" w:cs="Arial"/>
          <w:sz w:val="20"/>
          <w:szCs w:val="20"/>
        </w:rPr>
        <w:t xml:space="preserve"> </w:t>
      </w:r>
      <w:r w:rsidRPr="002B1FDD">
        <w:rPr>
          <w:rFonts w:ascii="Verdana" w:hAnsi="Verdana" w:cs="Arial"/>
          <w:sz w:val="20"/>
          <w:szCs w:val="20"/>
        </w:rPr>
        <w:t>of the assurance and therefore its value.</w:t>
      </w:r>
    </w:p>
    <w:p w:rsidR="002B1FDD" w:rsidRPr="00254F59" w:rsidRDefault="002B1FDD" w:rsidP="000A4229">
      <w:pPr>
        <w:pStyle w:val="ColorfulList-Accent11"/>
        <w:ind w:left="0"/>
        <w:contextualSpacing w:val="0"/>
        <w:jc w:val="both"/>
        <w:rPr>
          <w:rFonts w:ascii="Verdana" w:hAnsi="Verdana" w:cs="Arial"/>
          <w:i/>
          <w:sz w:val="20"/>
          <w:szCs w:val="20"/>
        </w:rPr>
      </w:pPr>
      <w:r w:rsidRPr="00254F59">
        <w:rPr>
          <w:rFonts w:ascii="Verdana" w:hAnsi="Verdana" w:cs="Arial"/>
          <w:i/>
          <w:sz w:val="20"/>
          <w:szCs w:val="20"/>
        </w:rPr>
        <w:t>1</w:t>
      </w:r>
      <w:r w:rsidRPr="00254F59">
        <w:rPr>
          <w:rFonts w:ascii="Verdana" w:hAnsi="Verdana" w:cs="Arial"/>
          <w:i/>
          <w:sz w:val="20"/>
          <w:szCs w:val="20"/>
          <w:vertAlign w:val="superscript"/>
        </w:rPr>
        <w:t>st</w:t>
      </w:r>
      <w:r w:rsidRPr="00254F59">
        <w:rPr>
          <w:rFonts w:ascii="Verdana" w:hAnsi="Verdana" w:cs="Arial"/>
          <w:i/>
          <w:sz w:val="20"/>
          <w:szCs w:val="20"/>
        </w:rPr>
        <w:t xml:space="preserve"> line of defence – </w:t>
      </w:r>
      <w:r w:rsidR="00511092" w:rsidRPr="00254F59">
        <w:rPr>
          <w:rFonts w:ascii="Verdana" w:hAnsi="Verdana" w:cs="Arial"/>
          <w:i/>
          <w:sz w:val="20"/>
          <w:szCs w:val="20"/>
        </w:rPr>
        <w:t xml:space="preserve">Operational </w:t>
      </w:r>
      <w:r w:rsidRPr="00254F59">
        <w:rPr>
          <w:rFonts w:ascii="Verdana" w:hAnsi="Verdana" w:cs="Arial"/>
          <w:i/>
          <w:sz w:val="20"/>
          <w:szCs w:val="20"/>
        </w:rPr>
        <w:t xml:space="preserve">management </w:t>
      </w:r>
    </w:p>
    <w:p w:rsidR="00511092" w:rsidRPr="002B1FDD" w:rsidRDefault="00511092" w:rsidP="000A4229">
      <w:pPr>
        <w:pStyle w:val="ColorfulList-Accent11"/>
        <w:ind w:left="0"/>
        <w:contextualSpacing w:val="0"/>
        <w:jc w:val="both"/>
        <w:rPr>
          <w:rFonts w:ascii="Verdana" w:hAnsi="Verdana" w:cs="Arial"/>
          <w:sz w:val="20"/>
          <w:szCs w:val="20"/>
        </w:rPr>
      </w:pPr>
      <w:r>
        <w:rPr>
          <w:rFonts w:ascii="Verdana" w:hAnsi="Verdana" w:cs="Arial"/>
          <w:sz w:val="20"/>
          <w:szCs w:val="20"/>
        </w:rPr>
        <w:t>For example: Maintaining effective controls and executing control procedures on a day to day basis; written procedures and staff training</w:t>
      </w:r>
    </w:p>
    <w:p w:rsidR="00511092" w:rsidRPr="00254F59" w:rsidRDefault="002B1FDD" w:rsidP="000A4229">
      <w:pPr>
        <w:pStyle w:val="ColorfulList-Accent11"/>
        <w:ind w:left="0"/>
        <w:contextualSpacing w:val="0"/>
        <w:jc w:val="both"/>
        <w:rPr>
          <w:rFonts w:ascii="Verdana" w:hAnsi="Verdana" w:cs="Arial"/>
          <w:i/>
          <w:sz w:val="20"/>
          <w:szCs w:val="20"/>
        </w:rPr>
      </w:pPr>
      <w:r w:rsidRPr="00254F59">
        <w:rPr>
          <w:rFonts w:ascii="Verdana" w:hAnsi="Verdana" w:cs="Arial"/>
          <w:i/>
          <w:sz w:val="20"/>
          <w:szCs w:val="20"/>
        </w:rPr>
        <w:t>2</w:t>
      </w:r>
      <w:r w:rsidRPr="00254F59">
        <w:rPr>
          <w:rFonts w:ascii="Verdana" w:hAnsi="Verdana" w:cs="Arial"/>
          <w:i/>
          <w:sz w:val="20"/>
          <w:szCs w:val="20"/>
          <w:vertAlign w:val="superscript"/>
        </w:rPr>
        <w:t>nd</w:t>
      </w:r>
      <w:r w:rsidRPr="00254F59">
        <w:rPr>
          <w:rFonts w:ascii="Verdana" w:hAnsi="Verdana" w:cs="Arial"/>
          <w:i/>
          <w:sz w:val="20"/>
          <w:szCs w:val="20"/>
        </w:rPr>
        <w:t xml:space="preserve"> line of defence –</w:t>
      </w:r>
      <w:r w:rsidR="00511092" w:rsidRPr="00254F59">
        <w:rPr>
          <w:rFonts w:ascii="Verdana" w:hAnsi="Verdana" w:cs="Arial"/>
          <w:i/>
          <w:sz w:val="20"/>
          <w:szCs w:val="20"/>
        </w:rPr>
        <w:t xml:space="preserve"> Risk Management and Compliance Functions</w:t>
      </w:r>
    </w:p>
    <w:p w:rsidR="00511092" w:rsidRDefault="00511092" w:rsidP="000A4229">
      <w:pPr>
        <w:pStyle w:val="ColorfulList-Accent11"/>
        <w:ind w:left="0"/>
        <w:contextualSpacing w:val="0"/>
        <w:jc w:val="both"/>
        <w:rPr>
          <w:rFonts w:ascii="Verdana" w:hAnsi="Verdana" w:cs="Arial"/>
          <w:sz w:val="20"/>
          <w:szCs w:val="20"/>
        </w:rPr>
      </w:pPr>
      <w:r>
        <w:rPr>
          <w:rFonts w:ascii="Verdana" w:hAnsi="Verdana" w:cs="Arial"/>
          <w:sz w:val="20"/>
          <w:szCs w:val="20"/>
        </w:rPr>
        <w:t xml:space="preserve">For example : Supporting management policies, defining roles and responsibilities, providing risk management frameworks (e.g. providing guidance and training on risk management issues) </w:t>
      </w:r>
    </w:p>
    <w:p w:rsidR="00511092" w:rsidRPr="00254F59" w:rsidRDefault="002B1FDD" w:rsidP="000A4229">
      <w:pPr>
        <w:pStyle w:val="ColorfulList-Accent11"/>
        <w:ind w:left="0"/>
        <w:contextualSpacing w:val="0"/>
        <w:jc w:val="both"/>
        <w:rPr>
          <w:rFonts w:ascii="Verdana" w:hAnsi="Verdana" w:cs="Arial"/>
          <w:i/>
          <w:sz w:val="20"/>
          <w:szCs w:val="20"/>
        </w:rPr>
      </w:pPr>
      <w:r w:rsidRPr="00254F59">
        <w:rPr>
          <w:rFonts w:ascii="Verdana" w:hAnsi="Verdana" w:cs="Arial"/>
          <w:i/>
          <w:sz w:val="20"/>
          <w:szCs w:val="20"/>
        </w:rPr>
        <w:t>3</w:t>
      </w:r>
      <w:r w:rsidRPr="00254F59">
        <w:rPr>
          <w:rFonts w:ascii="Verdana" w:hAnsi="Verdana" w:cs="Arial"/>
          <w:i/>
          <w:sz w:val="20"/>
          <w:szCs w:val="20"/>
          <w:vertAlign w:val="superscript"/>
        </w:rPr>
        <w:t>rd</w:t>
      </w:r>
      <w:r w:rsidRPr="00254F59">
        <w:rPr>
          <w:rFonts w:ascii="Verdana" w:hAnsi="Verdana" w:cs="Arial"/>
          <w:i/>
          <w:sz w:val="20"/>
          <w:szCs w:val="20"/>
        </w:rPr>
        <w:t xml:space="preserve"> line of defence – </w:t>
      </w:r>
      <w:r w:rsidR="00511092" w:rsidRPr="00254F59">
        <w:rPr>
          <w:rFonts w:ascii="Verdana" w:hAnsi="Verdana" w:cs="Arial"/>
          <w:i/>
          <w:sz w:val="20"/>
          <w:szCs w:val="20"/>
        </w:rPr>
        <w:t xml:space="preserve"> Independent Sources of Asssurance</w:t>
      </w:r>
    </w:p>
    <w:p w:rsidR="002B1FDD" w:rsidRPr="002B1FDD" w:rsidRDefault="00511092" w:rsidP="000A4229">
      <w:pPr>
        <w:pStyle w:val="ColorfulList-Accent11"/>
        <w:ind w:left="0"/>
        <w:contextualSpacing w:val="0"/>
        <w:jc w:val="both"/>
        <w:rPr>
          <w:rFonts w:ascii="Verdana" w:hAnsi="Verdana" w:cs="Arial"/>
          <w:sz w:val="20"/>
          <w:szCs w:val="20"/>
        </w:rPr>
      </w:pPr>
      <w:r>
        <w:rPr>
          <w:rFonts w:ascii="Verdana" w:hAnsi="Verdana" w:cs="Arial"/>
          <w:sz w:val="20"/>
          <w:szCs w:val="20"/>
        </w:rPr>
        <w:t xml:space="preserve">For example : </w:t>
      </w:r>
      <w:r w:rsidR="002B1FDD" w:rsidRPr="002B1FDD">
        <w:rPr>
          <w:rFonts w:ascii="Verdana" w:hAnsi="Verdana" w:cs="Arial"/>
          <w:sz w:val="20"/>
          <w:szCs w:val="20"/>
        </w:rPr>
        <w:t>internal audit, external audit, external regulators and agencies.</w:t>
      </w:r>
    </w:p>
    <w:p w:rsidR="002B1FDD" w:rsidRDefault="002B1FDD" w:rsidP="000A4229">
      <w:pPr>
        <w:pStyle w:val="ColorfulList-Accent11"/>
        <w:ind w:left="0"/>
        <w:contextualSpacing w:val="0"/>
        <w:jc w:val="both"/>
        <w:rPr>
          <w:rFonts w:ascii="Verdana" w:hAnsi="Verdana" w:cs="Arial"/>
          <w:b/>
          <w:sz w:val="20"/>
          <w:szCs w:val="20"/>
        </w:rPr>
      </w:pPr>
    </w:p>
    <w:p w:rsidR="00806847" w:rsidRDefault="00806847" w:rsidP="000A4229">
      <w:pPr>
        <w:pStyle w:val="ColorfulList-Accent11"/>
        <w:ind w:left="0"/>
        <w:contextualSpacing w:val="0"/>
        <w:jc w:val="both"/>
        <w:rPr>
          <w:rFonts w:ascii="Verdana" w:hAnsi="Verdana" w:cs="Arial"/>
          <w:b/>
          <w:sz w:val="20"/>
          <w:szCs w:val="20"/>
        </w:rPr>
      </w:pPr>
    </w:p>
    <w:p w:rsidR="00806847" w:rsidRDefault="00806847" w:rsidP="000A4229">
      <w:pPr>
        <w:pStyle w:val="ColorfulList-Accent11"/>
        <w:ind w:left="0"/>
        <w:contextualSpacing w:val="0"/>
        <w:jc w:val="both"/>
        <w:rPr>
          <w:rFonts w:ascii="Verdana" w:hAnsi="Verdana" w:cs="Arial"/>
          <w:b/>
          <w:sz w:val="20"/>
          <w:szCs w:val="20"/>
        </w:rPr>
      </w:pPr>
    </w:p>
    <w:p w:rsidR="00806847" w:rsidRPr="002B1FDD" w:rsidRDefault="00806847" w:rsidP="000A4229">
      <w:pPr>
        <w:pStyle w:val="ColorfulList-Accent11"/>
        <w:ind w:left="0"/>
        <w:contextualSpacing w:val="0"/>
        <w:jc w:val="both"/>
        <w:rPr>
          <w:rFonts w:ascii="Verdana" w:hAnsi="Verdana" w:cs="Arial"/>
          <w:b/>
          <w:sz w:val="20"/>
          <w:szCs w:val="20"/>
        </w:rPr>
      </w:pPr>
    </w:p>
    <w:p w:rsidR="002B1FDD" w:rsidRPr="002B1FDD" w:rsidRDefault="00511092" w:rsidP="000A4229">
      <w:pPr>
        <w:pStyle w:val="ColorfulList-Accent11"/>
        <w:ind w:left="567" w:hanging="567"/>
        <w:contextualSpacing w:val="0"/>
        <w:jc w:val="both"/>
        <w:rPr>
          <w:rFonts w:ascii="Verdana" w:hAnsi="Verdana" w:cs="Arial"/>
          <w:bCs/>
          <w:sz w:val="20"/>
          <w:szCs w:val="20"/>
        </w:rPr>
      </w:pPr>
      <w:r>
        <w:rPr>
          <w:rFonts w:ascii="Verdana" w:hAnsi="Verdana" w:cs="Arial"/>
          <w:b/>
          <w:sz w:val="20"/>
          <w:szCs w:val="20"/>
        </w:rPr>
        <w:lastRenderedPageBreak/>
        <w:t>9</w:t>
      </w:r>
      <w:r w:rsidR="002B1FDD" w:rsidRPr="002B1FDD">
        <w:rPr>
          <w:rFonts w:ascii="Verdana" w:hAnsi="Verdana" w:cs="Arial"/>
          <w:b/>
          <w:sz w:val="20"/>
          <w:szCs w:val="20"/>
        </w:rPr>
        <w:t xml:space="preserve">. </w:t>
      </w:r>
      <w:r w:rsidR="002B1FDD" w:rsidRPr="002B1FDD">
        <w:rPr>
          <w:rFonts w:ascii="Verdana" w:hAnsi="Verdana" w:cs="Arial"/>
          <w:b/>
          <w:sz w:val="20"/>
          <w:szCs w:val="20"/>
        </w:rPr>
        <w:tab/>
        <w:t>R</w:t>
      </w:r>
      <w:r>
        <w:rPr>
          <w:rFonts w:ascii="Verdana" w:hAnsi="Verdana" w:cs="Arial"/>
          <w:b/>
          <w:sz w:val="20"/>
          <w:szCs w:val="20"/>
        </w:rPr>
        <w:t>esidual R</w:t>
      </w:r>
      <w:r w:rsidR="002B1FDD" w:rsidRPr="002B1FDD">
        <w:rPr>
          <w:rFonts w:ascii="Verdana" w:hAnsi="Verdana" w:cs="Arial"/>
          <w:b/>
          <w:sz w:val="20"/>
          <w:szCs w:val="20"/>
        </w:rPr>
        <w:t xml:space="preserve">isk assessment </w:t>
      </w:r>
      <w:r>
        <w:rPr>
          <w:rFonts w:ascii="Verdana" w:hAnsi="Verdana" w:cs="Arial"/>
          <w:b/>
          <w:sz w:val="20"/>
          <w:szCs w:val="20"/>
        </w:rPr>
        <w:t>(Gross and Net risk)</w:t>
      </w:r>
    </w:p>
    <w:p w:rsidR="002B1FDD" w:rsidRDefault="00511092" w:rsidP="000A4229">
      <w:pPr>
        <w:pStyle w:val="ColorfulList-Accent11"/>
        <w:spacing w:before="120" w:after="120"/>
        <w:ind w:left="0"/>
        <w:jc w:val="both"/>
        <w:rPr>
          <w:rFonts w:ascii="Verdana" w:hAnsi="Verdana" w:cs="Arial"/>
          <w:sz w:val="20"/>
          <w:szCs w:val="20"/>
        </w:rPr>
      </w:pPr>
      <w:r w:rsidRPr="00254F59">
        <w:rPr>
          <w:rFonts w:ascii="Verdana" w:hAnsi="Verdana" w:cs="Arial"/>
          <w:sz w:val="20"/>
          <w:szCs w:val="20"/>
        </w:rPr>
        <w:t>Not all risks can be eliminated completely, so some residual risk is inevitable.</w:t>
      </w:r>
    </w:p>
    <w:p w:rsidR="00511092" w:rsidRDefault="00511092" w:rsidP="000A4229">
      <w:pPr>
        <w:pStyle w:val="ColorfulList-Accent11"/>
        <w:spacing w:before="120" w:after="120"/>
        <w:ind w:left="0"/>
        <w:jc w:val="both"/>
        <w:rPr>
          <w:rFonts w:ascii="Verdana" w:hAnsi="Verdana" w:cs="Arial"/>
          <w:sz w:val="20"/>
          <w:szCs w:val="20"/>
        </w:rPr>
      </w:pPr>
    </w:p>
    <w:p w:rsidR="00511092" w:rsidRDefault="00511092" w:rsidP="000A4229">
      <w:pPr>
        <w:pStyle w:val="ColorfulList-Accent11"/>
        <w:spacing w:before="120" w:after="120"/>
        <w:ind w:left="0"/>
        <w:jc w:val="both"/>
        <w:rPr>
          <w:rFonts w:ascii="Verdana" w:hAnsi="Verdana" w:cs="Arial"/>
          <w:sz w:val="20"/>
          <w:szCs w:val="20"/>
        </w:rPr>
      </w:pPr>
      <w:r w:rsidRPr="00254F59">
        <w:rPr>
          <w:rFonts w:ascii="Verdana" w:hAnsi="Verdana"/>
          <w:sz w:val="20"/>
          <w:szCs w:val="20"/>
        </w:rPr>
        <w:t>In completing the assessment of risk, recognition needs to be given to the impact of the mitigating actions taken to reduce the impact of the risk. Accordingly, risks should initially be recorded at their gross value – _the impact without mitigating actions. The same risks should then be recorded allowing for the impact of the mitigating actions, giving a net risk score. By doing so, the University is able to evaluate the impact of the mitigating factors to determine whether they are effective</w:t>
      </w:r>
      <w:r>
        <w:rPr>
          <w:sz w:val="20"/>
          <w:szCs w:val="20"/>
        </w:rPr>
        <w:t>.</w:t>
      </w:r>
    </w:p>
    <w:p w:rsidR="00511092" w:rsidRPr="00254F59" w:rsidRDefault="00511092" w:rsidP="000A4229">
      <w:pPr>
        <w:pStyle w:val="ColorfulList-Accent11"/>
        <w:spacing w:before="120" w:after="120"/>
        <w:ind w:left="0"/>
        <w:jc w:val="both"/>
        <w:rPr>
          <w:rFonts w:ascii="Verdana" w:hAnsi="Verdana" w:cs="Arial"/>
          <w:sz w:val="20"/>
          <w:szCs w:val="20"/>
        </w:rPr>
      </w:pPr>
    </w:p>
    <w:p w:rsidR="002B1FDD" w:rsidRPr="002B1FDD" w:rsidRDefault="002B1FDD" w:rsidP="00254F59">
      <w:pPr>
        <w:pStyle w:val="ColorfulList-Accent11"/>
        <w:spacing w:before="120" w:after="120"/>
        <w:ind w:left="0"/>
        <w:jc w:val="both"/>
        <w:rPr>
          <w:rFonts w:ascii="Verdana" w:hAnsi="Verdana" w:cs="Arial"/>
          <w:b/>
          <w:sz w:val="20"/>
          <w:szCs w:val="20"/>
        </w:rPr>
      </w:pPr>
      <w:r w:rsidRPr="002B1FDD">
        <w:rPr>
          <w:rFonts w:ascii="Verdana" w:hAnsi="Verdana" w:cs="Arial"/>
          <w:b/>
          <w:sz w:val="20"/>
          <w:szCs w:val="20"/>
        </w:rPr>
        <w:t xml:space="preserve">a.  </w:t>
      </w:r>
      <w:r w:rsidR="00511092">
        <w:rPr>
          <w:rFonts w:ascii="Verdana" w:hAnsi="Verdana" w:cs="Arial"/>
          <w:b/>
          <w:sz w:val="20"/>
          <w:szCs w:val="20"/>
        </w:rPr>
        <w:t xml:space="preserve">Assessing </w:t>
      </w:r>
      <w:r w:rsidRPr="002B1FDD">
        <w:rPr>
          <w:rFonts w:ascii="Verdana" w:hAnsi="Verdana" w:cs="Arial"/>
          <w:b/>
          <w:sz w:val="20"/>
          <w:szCs w:val="20"/>
        </w:rPr>
        <w:t xml:space="preserve">Gross </w:t>
      </w:r>
      <w:r w:rsidR="00511092">
        <w:rPr>
          <w:rFonts w:ascii="Verdana" w:hAnsi="Verdana" w:cs="Arial"/>
          <w:b/>
          <w:sz w:val="20"/>
          <w:szCs w:val="20"/>
        </w:rPr>
        <w:t xml:space="preserve">risk </w:t>
      </w:r>
      <w:r w:rsidRPr="002B1FDD">
        <w:rPr>
          <w:rFonts w:ascii="Verdana" w:hAnsi="Verdana" w:cs="Arial"/>
          <w:b/>
          <w:sz w:val="20"/>
          <w:szCs w:val="20"/>
        </w:rPr>
        <w:t xml:space="preserve">exposure </w:t>
      </w:r>
    </w:p>
    <w:p w:rsidR="002B1FDD" w:rsidRPr="002B1FDD" w:rsidRDefault="002B1FDD" w:rsidP="000A4229">
      <w:pPr>
        <w:pStyle w:val="ColorfulList-Accent11"/>
        <w:spacing w:after="120"/>
        <w:ind w:left="0"/>
        <w:jc w:val="both"/>
        <w:rPr>
          <w:rFonts w:ascii="Verdana" w:hAnsi="Verdana" w:cs="Arial"/>
          <w:sz w:val="20"/>
          <w:szCs w:val="20"/>
        </w:rPr>
      </w:pPr>
    </w:p>
    <w:p w:rsidR="00511092" w:rsidRPr="002B1FDD" w:rsidRDefault="00511092" w:rsidP="000A4229">
      <w:pPr>
        <w:pStyle w:val="ColorfulList-Accent11"/>
        <w:spacing w:before="120" w:after="120"/>
        <w:ind w:left="0"/>
        <w:jc w:val="both"/>
        <w:rPr>
          <w:rFonts w:ascii="Verdana" w:hAnsi="Verdana" w:cs="Arial"/>
          <w:b/>
          <w:sz w:val="20"/>
          <w:szCs w:val="20"/>
        </w:rPr>
      </w:pPr>
    </w:p>
    <w:p w:rsidR="002B1FDD" w:rsidRPr="002B1FDD" w:rsidRDefault="002B1FDD" w:rsidP="000A4229">
      <w:pPr>
        <w:pStyle w:val="ColorfulList-Accent11"/>
        <w:spacing w:before="120" w:after="120"/>
        <w:ind w:left="0"/>
        <w:jc w:val="both"/>
        <w:rPr>
          <w:rFonts w:ascii="Verdana" w:hAnsi="Verdana" w:cs="Arial"/>
          <w:sz w:val="20"/>
          <w:szCs w:val="20"/>
        </w:rPr>
      </w:pPr>
      <w:r w:rsidRPr="002B1FDD">
        <w:rPr>
          <w:rFonts w:ascii="Verdana" w:hAnsi="Verdana" w:cs="Arial"/>
          <w:sz w:val="20"/>
          <w:szCs w:val="20"/>
        </w:rPr>
        <w:t>Gross risk exposure is the status of the risk (measured through impact and likelihood) prior to any mitigating actions or controls being put in place.</w:t>
      </w:r>
    </w:p>
    <w:p w:rsidR="002B1FDD" w:rsidRPr="002B1FDD" w:rsidRDefault="002B1FDD" w:rsidP="000A4229">
      <w:pPr>
        <w:pStyle w:val="ColorfulList-Accent11"/>
        <w:spacing w:before="120" w:after="120"/>
        <w:ind w:left="3600" w:hanging="3600"/>
        <w:jc w:val="both"/>
        <w:rPr>
          <w:rFonts w:ascii="Verdana" w:hAnsi="Verdana" w:cs="Arial"/>
          <w:sz w:val="20"/>
          <w:szCs w:val="20"/>
        </w:rPr>
      </w:pPr>
    </w:p>
    <w:p w:rsidR="002B1FDD" w:rsidRPr="002B1FDD" w:rsidRDefault="002B1FDD" w:rsidP="000A4229">
      <w:pPr>
        <w:pStyle w:val="ColorfulList-Accent11"/>
        <w:spacing w:before="120" w:after="120"/>
        <w:ind w:left="0"/>
        <w:jc w:val="both"/>
        <w:rPr>
          <w:rFonts w:ascii="Verdana" w:hAnsi="Verdana" w:cs="Arial"/>
          <w:sz w:val="20"/>
          <w:szCs w:val="20"/>
        </w:rPr>
      </w:pPr>
      <w:r w:rsidRPr="002B1FDD">
        <w:rPr>
          <w:rFonts w:ascii="Verdana" w:hAnsi="Verdana" w:cs="Arial"/>
          <w:sz w:val="20"/>
          <w:szCs w:val="20"/>
        </w:rPr>
        <w:t>To determine the gross risk, firstly conceptualise a scenario where there are no controls in place, then assess the likelihood that the risk will happen and the impact this would have on achieving our strategic objectives if it does.</w:t>
      </w:r>
    </w:p>
    <w:p w:rsidR="002B1FDD" w:rsidRPr="002B1FDD" w:rsidRDefault="002B1FDD" w:rsidP="000A4229">
      <w:pPr>
        <w:pStyle w:val="ColorfulList-Accent11"/>
        <w:spacing w:before="120" w:after="120"/>
        <w:ind w:left="0"/>
        <w:jc w:val="both"/>
        <w:rPr>
          <w:rFonts w:ascii="Verdana" w:hAnsi="Verdana" w:cs="Arial"/>
          <w:sz w:val="20"/>
          <w:szCs w:val="20"/>
        </w:rPr>
      </w:pPr>
    </w:p>
    <w:p w:rsidR="002B1FDD" w:rsidRPr="002B1FDD" w:rsidRDefault="002B1FDD" w:rsidP="000A4229">
      <w:pPr>
        <w:pStyle w:val="ColorfulList-Accent11"/>
        <w:spacing w:before="120" w:after="120"/>
        <w:ind w:left="0"/>
        <w:jc w:val="both"/>
        <w:rPr>
          <w:rFonts w:ascii="Verdana" w:hAnsi="Verdana" w:cs="Arial"/>
          <w:sz w:val="20"/>
          <w:szCs w:val="20"/>
        </w:rPr>
      </w:pPr>
      <w:r w:rsidRPr="002B1FDD">
        <w:rPr>
          <w:rFonts w:ascii="Verdana" w:hAnsi="Verdana" w:cs="Arial"/>
          <w:sz w:val="20"/>
          <w:szCs w:val="20"/>
        </w:rPr>
        <w:t>Although it might seem strange to ignore existing controls, it is important to capture and prioritise the key risks to the university, not just those that are perceived to be less well controlled.  Understanding gross risk also enables the measurement of how much reliance is placed upon existing controls and can help to direct the work of assurance providers.</w:t>
      </w:r>
    </w:p>
    <w:p w:rsidR="002B1FDD" w:rsidRPr="002B1FDD" w:rsidRDefault="002B1FDD" w:rsidP="000A4229">
      <w:pPr>
        <w:pStyle w:val="ColorfulList-Accent11"/>
        <w:spacing w:before="120" w:after="120"/>
        <w:ind w:left="3600" w:hanging="3600"/>
        <w:jc w:val="both"/>
        <w:rPr>
          <w:rFonts w:ascii="Verdana" w:hAnsi="Verdana" w:cs="Arial"/>
          <w:sz w:val="20"/>
          <w:szCs w:val="20"/>
          <w:highlight w:val="yellow"/>
        </w:rPr>
      </w:pPr>
    </w:p>
    <w:p w:rsidR="002B1FDD" w:rsidRPr="002B1FDD" w:rsidRDefault="002B1FDD" w:rsidP="000A4229">
      <w:pPr>
        <w:pStyle w:val="ColorfulList-Accent11"/>
        <w:spacing w:before="120" w:after="120"/>
        <w:ind w:left="0"/>
        <w:jc w:val="both"/>
        <w:rPr>
          <w:rFonts w:ascii="Verdana" w:hAnsi="Verdana" w:cs="Arial"/>
          <w:sz w:val="20"/>
          <w:szCs w:val="20"/>
          <w:lang w:eastAsia="en-GB"/>
        </w:rPr>
      </w:pPr>
      <w:r w:rsidRPr="002B1FDD">
        <w:rPr>
          <w:rFonts w:ascii="Verdana" w:hAnsi="Verdana" w:cs="Arial"/>
          <w:sz w:val="20"/>
          <w:szCs w:val="20"/>
          <w:lang w:eastAsia="en-GB"/>
        </w:rPr>
        <w:t xml:space="preserve">The risk assessment matrix at Appendix </w:t>
      </w:r>
      <w:r w:rsidR="00F50E34">
        <w:rPr>
          <w:rFonts w:ascii="Verdana" w:hAnsi="Verdana" w:cs="Arial"/>
          <w:sz w:val="20"/>
          <w:szCs w:val="20"/>
          <w:lang w:eastAsia="en-GB"/>
        </w:rPr>
        <w:t>C</w:t>
      </w:r>
      <w:r w:rsidRPr="002B1FDD">
        <w:rPr>
          <w:rFonts w:ascii="Verdana" w:hAnsi="Verdana" w:cs="Arial"/>
          <w:sz w:val="20"/>
          <w:szCs w:val="20"/>
          <w:lang w:eastAsia="en-GB"/>
        </w:rPr>
        <w:t xml:space="preserve"> should be used to assess gross risk levels and to determine the colour coded level to be placed in the ‘Gross (inherent) risk exposure’ column.  </w:t>
      </w:r>
    </w:p>
    <w:p w:rsidR="002B1FDD" w:rsidRPr="002B1FDD" w:rsidRDefault="002B1FDD" w:rsidP="000A4229">
      <w:pPr>
        <w:pStyle w:val="ColorfulList-Accent11"/>
        <w:spacing w:before="120" w:after="120"/>
        <w:ind w:left="0"/>
        <w:jc w:val="both"/>
        <w:rPr>
          <w:rFonts w:ascii="Verdana" w:hAnsi="Verdana" w:cs="Arial"/>
          <w:b/>
          <w:sz w:val="20"/>
          <w:szCs w:val="20"/>
          <w:highlight w:val="yellow"/>
        </w:rPr>
      </w:pPr>
    </w:p>
    <w:p w:rsidR="002B1FDD" w:rsidRPr="002B1FDD" w:rsidRDefault="00511092" w:rsidP="000A4229">
      <w:pPr>
        <w:pStyle w:val="ColorfulList-Accent11"/>
        <w:spacing w:before="120" w:after="120"/>
        <w:ind w:left="0"/>
        <w:jc w:val="both"/>
        <w:rPr>
          <w:rFonts w:ascii="Verdana" w:hAnsi="Verdana" w:cs="Arial"/>
          <w:sz w:val="20"/>
          <w:szCs w:val="20"/>
        </w:rPr>
      </w:pPr>
      <w:r>
        <w:rPr>
          <w:rFonts w:ascii="Verdana" w:hAnsi="Verdana" w:cs="Arial"/>
          <w:b/>
          <w:sz w:val="20"/>
          <w:szCs w:val="20"/>
        </w:rPr>
        <w:t>b</w:t>
      </w:r>
      <w:r w:rsidR="002B1FDD" w:rsidRPr="002B1FDD">
        <w:rPr>
          <w:rFonts w:ascii="Verdana" w:hAnsi="Verdana" w:cs="Arial"/>
          <w:b/>
          <w:sz w:val="20"/>
          <w:szCs w:val="20"/>
        </w:rPr>
        <w:t>.  Assessing net risk exposure</w:t>
      </w:r>
    </w:p>
    <w:p w:rsidR="002B1FDD" w:rsidRPr="002B1FDD" w:rsidRDefault="002B1FDD" w:rsidP="000A4229">
      <w:pPr>
        <w:pStyle w:val="ColorfulList-Accent11"/>
        <w:spacing w:before="120" w:after="120"/>
        <w:ind w:left="0"/>
        <w:jc w:val="both"/>
        <w:rPr>
          <w:rFonts w:ascii="Verdana" w:hAnsi="Verdana" w:cs="Arial"/>
          <w:b/>
          <w:sz w:val="20"/>
          <w:szCs w:val="20"/>
        </w:rPr>
      </w:pPr>
    </w:p>
    <w:p w:rsidR="002B1FDD" w:rsidRPr="002B1FDD" w:rsidRDefault="002B1FDD" w:rsidP="000A4229">
      <w:pPr>
        <w:pStyle w:val="ColorfulList-Accent11"/>
        <w:spacing w:before="120" w:after="120"/>
        <w:ind w:left="0"/>
        <w:jc w:val="both"/>
        <w:rPr>
          <w:rFonts w:ascii="Verdana" w:hAnsi="Verdana" w:cs="Arial"/>
          <w:sz w:val="20"/>
          <w:szCs w:val="20"/>
        </w:rPr>
      </w:pPr>
      <w:r w:rsidRPr="002B1FDD">
        <w:rPr>
          <w:rFonts w:ascii="Verdana" w:hAnsi="Verdana" w:cs="Arial"/>
          <w:sz w:val="20"/>
          <w:szCs w:val="20"/>
        </w:rPr>
        <w:t>Net risk exposure is the status of the risk after mitigating actions and controls have been applied.  By assessing the risk after the control environment is considered, we can assess the effectiveness of our mitigating actions and controls.</w:t>
      </w:r>
    </w:p>
    <w:p w:rsidR="002B1FDD" w:rsidRPr="002B1FDD" w:rsidRDefault="002B1FDD" w:rsidP="000A4229">
      <w:pPr>
        <w:pStyle w:val="ColorfulList-Accent11"/>
        <w:spacing w:before="120" w:after="120"/>
        <w:ind w:left="3600" w:hanging="3600"/>
        <w:jc w:val="both"/>
        <w:rPr>
          <w:rFonts w:ascii="Verdana" w:hAnsi="Verdana" w:cs="Arial"/>
          <w:sz w:val="20"/>
          <w:szCs w:val="20"/>
        </w:rPr>
      </w:pPr>
    </w:p>
    <w:p w:rsidR="002B1FDD" w:rsidRPr="002B1FDD" w:rsidRDefault="002B1FDD" w:rsidP="000A4229">
      <w:pPr>
        <w:pStyle w:val="ColorfulList-Accent11"/>
        <w:spacing w:before="120" w:after="120"/>
        <w:ind w:left="0"/>
        <w:jc w:val="both"/>
        <w:rPr>
          <w:rFonts w:ascii="Verdana" w:hAnsi="Verdana" w:cs="Arial"/>
          <w:sz w:val="20"/>
          <w:szCs w:val="20"/>
          <w:lang w:eastAsia="en-GB"/>
        </w:rPr>
      </w:pPr>
      <w:r w:rsidRPr="002B1FDD">
        <w:rPr>
          <w:rFonts w:ascii="Verdana" w:hAnsi="Verdana" w:cs="Arial"/>
          <w:sz w:val="20"/>
          <w:szCs w:val="20"/>
          <w:lang w:eastAsia="en-GB"/>
        </w:rPr>
        <w:t xml:space="preserve">The risk assessment matrix at Appendix </w:t>
      </w:r>
      <w:r w:rsidR="00511092">
        <w:rPr>
          <w:rFonts w:ascii="Verdana" w:hAnsi="Verdana" w:cs="Arial"/>
          <w:sz w:val="20"/>
          <w:szCs w:val="20"/>
          <w:lang w:eastAsia="en-GB"/>
        </w:rPr>
        <w:t>C</w:t>
      </w:r>
      <w:r w:rsidRPr="002B1FDD">
        <w:rPr>
          <w:rFonts w:ascii="Verdana" w:hAnsi="Verdana" w:cs="Arial"/>
          <w:sz w:val="20"/>
          <w:szCs w:val="20"/>
          <w:lang w:eastAsia="en-GB"/>
        </w:rPr>
        <w:t xml:space="preserve"> should be used to assess net risk levels after controls are in place and to determine the </w:t>
      </w:r>
      <w:r w:rsidR="00711F0C">
        <w:rPr>
          <w:rFonts w:ascii="Verdana" w:hAnsi="Verdana" w:cs="Arial"/>
          <w:sz w:val="20"/>
          <w:szCs w:val="20"/>
          <w:lang w:eastAsia="en-GB"/>
        </w:rPr>
        <w:t>net risk score</w:t>
      </w:r>
      <w:r w:rsidRPr="002B1FDD">
        <w:rPr>
          <w:rFonts w:ascii="Verdana" w:hAnsi="Verdana" w:cs="Arial"/>
          <w:sz w:val="20"/>
          <w:szCs w:val="20"/>
          <w:lang w:eastAsia="en-GB"/>
        </w:rPr>
        <w:t xml:space="preserve">.  </w:t>
      </w:r>
    </w:p>
    <w:p w:rsidR="002B1FDD" w:rsidRPr="002B1FDD" w:rsidRDefault="002B1FDD" w:rsidP="000A4229">
      <w:pPr>
        <w:pStyle w:val="ColorfulList-Accent11"/>
        <w:spacing w:before="120" w:after="120"/>
        <w:ind w:left="0"/>
        <w:jc w:val="both"/>
        <w:rPr>
          <w:rFonts w:ascii="Verdana" w:hAnsi="Verdana" w:cs="Arial"/>
          <w:sz w:val="20"/>
          <w:szCs w:val="20"/>
          <w:lang w:eastAsia="en-GB"/>
        </w:rPr>
      </w:pPr>
    </w:p>
    <w:p w:rsidR="002B1FDD" w:rsidRPr="002B1FDD" w:rsidRDefault="00511092" w:rsidP="000A4229">
      <w:pPr>
        <w:pStyle w:val="ColorfulList-Accent11"/>
        <w:spacing w:before="120" w:after="120"/>
        <w:ind w:left="0"/>
        <w:jc w:val="both"/>
        <w:rPr>
          <w:rFonts w:ascii="Verdana" w:hAnsi="Verdana" w:cs="Arial"/>
          <w:b/>
          <w:sz w:val="20"/>
          <w:szCs w:val="20"/>
        </w:rPr>
      </w:pPr>
      <w:r>
        <w:rPr>
          <w:rFonts w:ascii="Verdana" w:hAnsi="Verdana" w:cs="Arial"/>
          <w:b/>
          <w:sz w:val="20"/>
          <w:szCs w:val="20"/>
        </w:rPr>
        <w:t>c</w:t>
      </w:r>
      <w:r w:rsidR="002B1FDD" w:rsidRPr="002B1FDD">
        <w:rPr>
          <w:rFonts w:ascii="Verdana" w:hAnsi="Verdana" w:cs="Arial"/>
          <w:b/>
          <w:sz w:val="20"/>
          <w:szCs w:val="20"/>
        </w:rPr>
        <w:t>.  Assessing risk trend</w:t>
      </w:r>
    </w:p>
    <w:p w:rsidR="002B1FDD" w:rsidRPr="002B1FDD" w:rsidRDefault="002B1FDD" w:rsidP="000A4229">
      <w:pPr>
        <w:pStyle w:val="ColorfulList-Accent11"/>
        <w:spacing w:before="120" w:after="120"/>
        <w:ind w:left="0"/>
        <w:jc w:val="both"/>
        <w:rPr>
          <w:rFonts w:ascii="Verdana" w:hAnsi="Verdana" w:cs="Arial"/>
          <w:b/>
          <w:sz w:val="20"/>
          <w:szCs w:val="20"/>
          <w:highlight w:val="yellow"/>
        </w:rPr>
      </w:pPr>
    </w:p>
    <w:p w:rsidR="002B1FDD" w:rsidRPr="002B1FDD" w:rsidRDefault="002B1FDD" w:rsidP="000A4229">
      <w:pPr>
        <w:pStyle w:val="ColorfulList-Accent11"/>
        <w:spacing w:before="120" w:after="120"/>
        <w:ind w:left="0"/>
        <w:jc w:val="both"/>
        <w:rPr>
          <w:rFonts w:ascii="Verdana" w:hAnsi="Verdana" w:cs="Arial"/>
          <w:sz w:val="20"/>
          <w:szCs w:val="20"/>
        </w:rPr>
      </w:pPr>
      <w:r w:rsidRPr="002B1FDD">
        <w:rPr>
          <w:rFonts w:ascii="Verdana" w:hAnsi="Verdana" w:cs="Arial"/>
          <w:sz w:val="20"/>
          <w:szCs w:val="20"/>
        </w:rPr>
        <w:t xml:space="preserve">A risk trend should be assigned to both the gross and net risk assessments to indicate whether a risk is static, increasing or diminishing. The risk trend should reflect the movement in risk assessment since the last update of the risk register (for the first version, it will be level).  </w:t>
      </w:r>
    </w:p>
    <w:p w:rsidR="002B1FDD" w:rsidRPr="002B1FDD" w:rsidRDefault="002B1FDD" w:rsidP="000A4229">
      <w:pPr>
        <w:pStyle w:val="ColorfulList-Accent11"/>
        <w:spacing w:before="120" w:after="120"/>
        <w:ind w:left="3600" w:hanging="3600"/>
        <w:jc w:val="both"/>
        <w:rPr>
          <w:rFonts w:ascii="Verdana" w:hAnsi="Verdana" w:cs="Arial"/>
          <w:sz w:val="20"/>
          <w:szCs w:val="20"/>
        </w:rPr>
      </w:pPr>
    </w:p>
    <w:p w:rsidR="002B1FDD" w:rsidRPr="002B1FDD" w:rsidRDefault="002B1FDD" w:rsidP="000A4229">
      <w:pPr>
        <w:pStyle w:val="ColorfulList-Accent11"/>
        <w:spacing w:before="120" w:after="120"/>
        <w:ind w:left="0"/>
        <w:jc w:val="both"/>
        <w:rPr>
          <w:rFonts w:ascii="Verdana" w:hAnsi="Verdana" w:cs="Arial"/>
          <w:sz w:val="20"/>
          <w:szCs w:val="20"/>
          <w:lang w:eastAsia="en-GB"/>
        </w:rPr>
      </w:pPr>
      <w:r w:rsidRPr="002B1FDD">
        <w:rPr>
          <w:rFonts w:ascii="Verdana" w:hAnsi="Verdana" w:cs="Arial"/>
          <w:sz w:val="20"/>
          <w:szCs w:val="20"/>
          <w:lang w:eastAsia="en-GB"/>
        </w:rPr>
        <w:t>The risk trend should be defined, using one of the following symbols:</w:t>
      </w:r>
    </w:p>
    <w:p w:rsidR="002B1FDD" w:rsidRPr="002B1FDD" w:rsidRDefault="002B1FDD" w:rsidP="000A4229">
      <w:pPr>
        <w:pStyle w:val="ColorfulList-Accent11"/>
        <w:spacing w:before="120" w:after="120"/>
        <w:ind w:left="0"/>
        <w:jc w:val="both"/>
        <w:rPr>
          <w:rFonts w:ascii="Verdana" w:hAnsi="Verdana" w:cs="Arial"/>
          <w:sz w:val="20"/>
          <w:szCs w:val="20"/>
          <w:lang w:eastAsia="en-GB"/>
        </w:rPr>
      </w:pPr>
    </w:p>
    <w:p w:rsidR="002B1FDD" w:rsidRPr="002B1FDD" w:rsidRDefault="002B1FDD" w:rsidP="000A4229">
      <w:pPr>
        <w:pStyle w:val="ColorfulList-Accent11"/>
        <w:spacing w:before="120" w:after="120"/>
        <w:ind w:left="0"/>
        <w:jc w:val="both"/>
        <w:rPr>
          <w:rFonts w:ascii="Verdana" w:hAnsi="Verdana" w:cs="Arial"/>
          <w:sz w:val="20"/>
          <w:szCs w:val="20"/>
          <w:lang w:eastAsia="en-GB"/>
        </w:rPr>
      </w:pPr>
      <w:r w:rsidRPr="002B1FDD">
        <w:rPr>
          <w:rFonts w:ascii="Verdana" w:hAnsi="Verdana" w:cs="Arial"/>
          <w:b/>
          <w:sz w:val="20"/>
          <w:szCs w:val="20"/>
          <w:lang w:eastAsia="en-GB"/>
        </w:rPr>
        <w:sym w:font="Wingdings 3" w:char="F031"/>
      </w:r>
      <w:r w:rsidRPr="002B1FDD">
        <w:rPr>
          <w:rFonts w:ascii="Verdana" w:hAnsi="Verdana" w:cs="Arial"/>
          <w:b/>
          <w:sz w:val="20"/>
          <w:szCs w:val="20"/>
          <w:lang w:eastAsia="en-GB"/>
        </w:rPr>
        <w:t xml:space="preserve"> </w:t>
      </w:r>
      <w:r w:rsidRPr="002B1FDD">
        <w:rPr>
          <w:rFonts w:ascii="Verdana" w:hAnsi="Verdana" w:cs="Arial"/>
          <w:sz w:val="20"/>
          <w:szCs w:val="20"/>
          <w:lang w:eastAsia="en-GB"/>
        </w:rPr>
        <w:t xml:space="preserve">  =  risk is static;</w:t>
      </w:r>
    </w:p>
    <w:p w:rsidR="002B1FDD" w:rsidRPr="002B1FDD" w:rsidRDefault="002B1FDD" w:rsidP="000A4229">
      <w:pPr>
        <w:pStyle w:val="ColorfulList-Accent11"/>
        <w:spacing w:before="120" w:after="120"/>
        <w:ind w:left="0"/>
        <w:jc w:val="both"/>
        <w:rPr>
          <w:rFonts w:ascii="Verdana" w:hAnsi="Verdana" w:cs="Arial"/>
          <w:sz w:val="20"/>
          <w:szCs w:val="20"/>
          <w:lang w:eastAsia="en-GB"/>
        </w:rPr>
      </w:pPr>
      <w:r w:rsidRPr="002B1FDD">
        <w:rPr>
          <w:rFonts w:ascii="Verdana" w:hAnsi="Verdana" w:cs="Arial"/>
          <w:b/>
          <w:sz w:val="20"/>
          <w:szCs w:val="20"/>
          <w:lang w:eastAsia="en-GB"/>
        </w:rPr>
        <w:sym w:font="Wingdings 3" w:char="F023"/>
      </w:r>
      <w:r w:rsidRPr="002B1FDD">
        <w:rPr>
          <w:rFonts w:ascii="Verdana" w:hAnsi="Verdana" w:cs="Arial"/>
          <w:sz w:val="20"/>
          <w:szCs w:val="20"/>
          <w:lang w:eastAsia="en-GB"/>
        </w:rPr>
        <w:t xml:space="preserve">   =  risk  has increased</w:t>
      </w:r>
    </w:p>
    <w:p w:rsidR="002B1FDD" w:rsidRPr="002B1FDD" w:rsidRDefault="002B1FDD" w:rsidP="000A4229">
      <w:pPr>
        <w:pStyle w:val="ColorfulList-Accent11"/>
        <w:spacing w:before="120" w:after="120"/>
        <w:ind w:left="0"/>
        <w:jc w:val="both"/>
        <w:rPr>
          <w:rFonts w:ascii="Verdana" w:hAnsi="Verdana" w:cs="Arial"/>
          <w:sz w:val="20"/>
          <w:szCs w:val="20"/>
          <w:lang w:eastAsia="en-GB"/>
        </w:rPr>
      </w:pPr>
      <w:r w:rsidRPr="002B1FDD">
        <w:rPr>
          <w:rFonts w:ascii="Verdana" w:hAnsi="Verdana" w:cs="Arial"/>
          <w:b/>
          <w:sz w:val="20"/>
          <w:szCs w:val="20"/>
          <w:lang w:eastAsia="en-GB"/>
        </w:rPr>
        <w:sym w:font="Wingdings 3" w:char="F024"/>
      </w:r>
      <w:r w:rsidRPr="002B1FDD">
        <w:rPr>
          <w:rFonts w:ascii="Verdana" w:hAnsi="Verdana" w:cs="Arial"/>
          <w:sz w:val="20"/>
          <w:szCs w:val="20"/>
          <w:lang w:eastAsia="en-GB"/>
        </w:rPr>
        <w:t xml:space="preserve">   =  risk has diminished.</w:t>
      </w:r>
    </w:p>
    <w:p w:rsidR="002B1FDD" w:rsidRPr="002B1FDD" w:rsidRDefault="002B1FDD" w:rsidP="000A4229">
      <w:pPr>
        <w:pStyle w:val="ColorfulList-Accent11"/>
        <w:spacing w:before="120" w:after="120"/>
        <w:ind w:left="0"/>
        <w:jc w:val="both"/>
        <w:rPr>
          <w:rFonts w:ascii="Verdana" w:hAnsi="Verdana" w:cs="Arial"/>
          <w:sz w:val="20"/>
          <w:szCs w:val="20"/>
          <w:lang w:eastAsia="en-GB"/>
        </w:rPr>
      </w:pPr>
    </w:p>
    <w:p w:rsidR="002B1FDD" w:rsidRPr="002B1FDD" w:rsidRDefault="00711F0C" w:rsidP="000A4229">
      <w:pPr>
        <w:pStyle w:val="ColorfulList-Accent11"/>
        <w:spacing w:before="120" w:after="120"/>
        <w:ind w:left="0"/>
        <w:jc w:val="both"/>
        <w:rPr>
          <w:rFonts w:ascii="Verdana" w:hAnsi="Verdana" w:cs="Arial"/>
          <w:sz w:val="20"/>
          <w:szCs w:val="20"/>
        </w:rPr>
      </w:pPr>
      <w:r>
        <w:rPr>
          <w:rFonts w:ascii="Verdana" w:hAnsi="Verdana" w:cs="Arial"/>
          <w:sz w:val="20"/>
          <w:szCs w:val="20"/>
          <w:lang w:eastAsia="en-GB"/>
        </w:rPr>
        <w:t>On the University’s online system, a report may be run to indicate risk trend changes between specific dates. If using the paper-based form in Appendix B t</w:t>
      </w:r>
      <w:r w:rsidR="002B1FDD" w:rsidRPr="002B1FDD">
        <w:rPr>
          <w:rFonts w:ascii="Verdana" w:hAnsi="Verdana" w:cs="Arial"/>
          <w:sz w:val="20"/>
          <w:szCs w:val="20"/>
          <w:lang w:eastAsia="en-GB"/>
        </w:rPr>
        <w:t>he appropriate symbols should be entered in the ‘Risk trend’ columns; one relating to gross risk and one for net risk.</w:t>
      </w:r>
    </w:p>
    <w:p w:rsidR="002B1FDD" w:rsidRPr="002B1FDD" w:rsidRDefault="002B1FDD" w:rsidP="000A4229">
      <w:pPr>
        <w:pStyle w:val="ColorfulList-Accent11"/>
        <w:spacing w:before="120" w:after="120"/>
        <w:ind w:left="3600" w:hanging="3600"/>
        <w:jc w:val="both"/>
        <w:rPr>
          <w:rFonts w:ascii="Verdana" w:hAnsi="Verdana" w:cs="Arial"/>
          <w:sz w:val="20"/>
          <w:szCs w:val="20"/>
        </w:rPr>
      </w:pPr>
    </w:p>
    <w:p w:rsidR="00711F0C" w:rsidRPr="002B1FDD" w:rsidRDefault="00711F0C" w:rsidP="000A4229">
      <w:pPr>
        <w:pStyle w:val="ColorfulList-Accent11"/>
        <w:ind w:left="0"/>
        <w:jc w:val="both"/>
        <w:rPr>
          <w:rFonts w:ascii="Verdana" w:hAnsi="Verdana" w:cs="Arial"/>
          <w:b/>
          <w:sz w:val="20"/>
          <w:szCs w:val="20"/>
        </w:rPr>
      </w:pPr>
    </w:p>
    <w:p w:rsidR="002B1FDD" w:rsidRPr="002B1FDD" w:rsidRDefault="00511092" w:rsidP="000A4229">
      <w:pPr>
        <w:pStyle w:val="ColorfulList-Accent11"/>
        <w:ind w:left="567" w:hanging="567"/>
        <w:jc w:val="both"/>
        <w:rPr>
          <w:rFonts w:ascii="Verdana" w:hAnsi="Verdana" w:cs="Arial"/>
          <w:sz w:val="20"/>
          <w:szCs w:val="20"/>
          <w:highlight w:val="yellow"/>
          <w:lang w:eastAsia="en-GB"/>
        </w:rPr>
      </w:pPr>
      <w:r>
        <w:rPr>
          <w:rFonts w:ascii="Verdana" w:hAnsi="Verdana" w:cs="Arial"/>
          <w:b/>
          <w:sz w:val="20"/>
          <w:szCs w:val="20"/>
        </w:rPr>
        <w:t>9</w:t>
      </w:r>
      <w:r w:rsidR="002B1FDD" w:rsidRPr="002B1FDD">
        <w:rPr>
          <w:rFonts w:ascii="Verdana" w:hAnsi="Verdana" w:cs="Arial"/>
          <w:b/>
          <w:sz w:val="20"/>
          <w:szCs w:val="20"/>
        </w:rPr>
        <w:t xml:space="preserve">. </w:t>
      </w:r>
      <w:r w:rsidR="002B1FDD" w:rsidRPr="002B1FDD">
        <w:rPr>
          <w:rFonts w:ascii="Verdana" w:hAnsi="Verdana" w:cs="Arial"/>
          <w:b/>
          <w:sz w:val="20"/>
          <w:szCs w:val="20"/>
        </w:rPr>
        <w:tab/>
        <w:t>Risk monitoring and reporting</w:t>
      </w:r>
    </w:p>
    <w:p w:rsidR="002B1FDD" w:rsidRPr="002B1FDD" w:rsidRDefault="002B1FDD" w:rsidP="000A4229">
      <w:pPr>
        <w:pStyle w:val="ColorfulList-Accent11"/>
        <w:ind w:left="0"/>
        <w:jc w:val="both"/>
        <w:rPr>
          <w:rFonts w:ascii="Verdana" w:hAnsi="Verdana" w:cs="Arial"/>
          <w:b/>
          <w:sz w:val="20"/>
          <w:szCs w:val="20"/>
        </w:rPr>
      </w:pPr>
    </w:p>
    <w:p w:rsidR="002B1FDD" w:rsidRPr="002B1FDD" w:rsidRDefault="002B1FDD" w:rsidP="000A4229">
      <w:pPr>
        <w:pStyle w:val="ColorfulList-Accent11"/>
        <w:ind w:left="0"/>
        <w:contextualSpacing w:val="0"/>
        <w:jc w:val="both"/>
        <w:rPr>
          <w:rFonts w:ascii="Verdana" w:hAnsi="Verdana" w:cs="Arial"/>
          <w:b/>
          <w:bCs/>
          <w:sz w:val="20"/>
          <w:szCs w:val="20"/>
        </w:rPr>
      </w:pPr>
      <w:r w:rsidRPr="002B1FDD">
        <w:rPr>
          <w:rFonts w:ascii="Verdana" w:hAnsi="Verdana" w:cs="Arial"/>
          <w:b/>
          <w:bCs/>
          <w:sz w:val="20"/>
          <w:szCs w:val="20"/>
        </w:rPr>
        <w:t xml:space="preserve">a. </w:t>
      </w:r>
      <w:r w:rsidRPr="002B1FDD">
        <w:rPr>
          <w:rFonts w:ascii="Verdana" w:hAnsi="Verdana" w:cs="Arial"/>
          <w:b/>
          <w:bCs/>
          <w:sz w:val="20"/>
          <w:szCs w:val="20"/>
        </w:rPr>
        <w:tab/>
        <w:t xml:space="preserve"> Introduction</w:t>
      </w:r>
    </w:p>
    <w:p w:rsidR="00511092" w:rsidRDefault="002B1FDD" w:rsidP="00511092">
      <w:pPr>
        <w:pStyle w:val="Default"/>
        <w:rPr>
          <w:rFonts w:ascii="Verdana" w:hAnsi="Verdana" w:cs="Verdana"/>
          <w:sz w:val="20"/>
          <w:szCs w:val="20"/>
          <w:lang w:val="en-US"/>
        </w:rPr>
      </w:pPr>
      <w:r w:rsidRPr="002B1FDD">
        <w:rPr>
          <w:rFonts w:ascii="Verdana" w:hAnsi="Verdana" w:cs="Arial"/>
          <w:bCs/>
          <w:sz w:val="20"/>
          <w:szCs w:val="20"/>
        </w:rPr>
        <w:t>The most effective Risk Management frameworks are the ones where risk strategies, responses and controls are regularly assessed, monitored and updated.</w:t>
      </w:r>
      <w:r w:rsidR="00511092">
        <w:rPr>
          <w:rFonts w:ascii="Verdana" w:hAnsi="Verdana" w:cs="Arial"/>
          <w:bCs/>
          <w:sz w:val="20"/>
          <w:szCs w:val="20"/>
        </w:rPr>
        <w:t xml:space="preserve"> </w:t>
      </w:r>
      <w:r w:rsidR="00511092" w:rsidRPr="00254F59">
        <w:rPr>
          <w:rFonts w:ascii="Verdana" w:hAnsi="Verdana"/>
          <w:sz w:val="20"/>
          <w:szCs w:val="20"/>
        </w:rPr>
        <w:t xml:space="preserve">The effectiveness of the risk management framework will be subject to ongoing monitoring by the University Executive, on a monthly basis. </w:t>
      </w:r>
      <w:r w:rsidR="00511092" w:rsidRPr="00511092">
        <w:rPr>
          <w:rFonts w:ascii="Verdana" w:hAnsi="Verdana" w:cs="Verdana"/>
          <w:sz w:val="20"/>
          <w:szCs w:val="20"/>
          <w:lang w:val="en-US"/>
        </w:rPr>
        <w:t xml:space="preserve">The Audit, Risk and Assurance Committee will review the risk register and progress with risk mitigation actions on a regular basis. The criteria for judging effectiveness will be the receipt of satisfactory reports of compliance from Internal Audit, Financial Statements Audit and the funding bodies, among others. </w:t>
      </w:r>
    </w:p>
    <w:p w:rsidR="00511092" w:rsidRPr="00511092" w:rsidRDefault="00511092" w:rsidP="00511092">
      <w:pPr>
        <w:pStyle w:val="Default"/>
        <w:rPr>
          <w:rFonts w:ascii="Verdana" w:hAnsi="Verdana" w:cs="Verdana"/>
          <w:sz w:val="20"/>
          <w:szCs w:val="20"/>
          <w:lang w:val="en-US"/>
        </w:rPr>
      </w:pPr>
    </w:p>
    <w:p w:rsidR="00511092" w:rsidRDefault="00511092" w:rsidP="00511092">
      <w:pPr>
        <w:autoSpaceDE w:val="0"/>
        <w:autoSpaceDN w:val="0"/>
        <w:adjustRightInd w:val="0"/>
        <w:spacing w:after="0" w:line="240" w:lineRule="auto"/>
        <w:rPr>
          <w:rFonts w:ascii="Verdana" w:hAnsi="Verdana" w:cs="Verdana"/>
          <w:color w:val="000000"/>
          <w:sz w:val="20"/>
          <w:szCs w:val="20"/>
          <w:lang w:val="en-US"/>
        </w:rPr>
      </w:pPr>
      <w:r w:rsidRPr="00511092">
        <w:rPr>
          <w:rFonts w:ascii="Verdana" w:hAnsi="Verdana" w:cs="Verdana"/>
          <w:color w:val="000000"/>
          <w:sz w:val="20"/>
          <w:szCs w:val="20"/>
          <w:lang w:val="en-US"/>
        </w:rPr>
        <w:t xml:space="preserve">The Audit, Risk and Assurance Committee will review Risk Assurance periodically. The structured mapping of assurances is a key component of the process of identifying the sources of assurance that are in place to enable an accurate assessment of risk management and corporate governance arrangements. The benefits of the assurance map include: </w:t>
      </w:r>
    </w:p>
    <w:p w:rsidR="00511092" w:rsidRDefault="00511092" w:rsidP="00511092">
      <w:pPr>
        <w:autoSpaceDE w:val="0"/>
        <w:autoSpaceDN w:val="0"/>
        <w:adjustRightInd w:val="0"/>
        <w:spacing w:after="0" w:line="240" w:lineRule="auto"/>
        <w:rPr>
          <w:rFonts w:ascii="Verdana" w:hAnsi="Verdana" w:cs="Verdana"/>
          <w:color w:val="000000"/>
          <w:sz w:val="20"/>
          <w:szCs w:val="20"/>
          <w:lang w:val="en-US"/>
        </w:rPr>
      </w:pPr>
    </w:p>
    <w:p w:rsidR="00511092" w:rsidRDefault="00511092" w:rsidP="00254F59">
      <w:pPr>
        <w:numPr>
          <w:ilvl w:val="0"/>
          <w:numId w:val="43"/>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Facilitating the escalation of risk and control issues</w:t>
      </w:r>
    </w:p>
    <w:p w:rsidR="00511092" w:rsidRDefault="00511092" w:rsidP="00254F59">
      <w:pPr>
        <w:numPr>
          <w:ilvl w:val="0"/>
          <w:numId w:val="43"/>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Identifying assurance gaps</w:t>
      </w:r>
    </w:p>
    <w:p w:rsidR="00511092" w:rsidRDefault="00511092" w:rsidP="00254F59">
      <w:pPr>
        <w:numPr>
          <w:ilvl w:val="0"/>
          <w:numId w:val="43"/>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Identifying where there are multiple sources of assurance that may not represent the best use of resources</w:t>
      </w:r>
    </w:p>
    <w:p w:rsidR="00511092" w:rsidRDefault="00511092" w:rsidP="00254F59">
      <w:pPr>
        <w:numPr>
          <w:ilvl w:val="0"/>
          <w:numId w:val="43"/>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Providing supporting evidence for the Annual Report</w:t>
      </w:r>
    </w:p>
    <w:p w:rsidR="00511092" w:rsidRDefault="00511092" w:rsidP="00511092">
      <w:pPr>
        <w:autoSpaceDE w:val="0"/>
        <w:autoSpaceDN w:val="0"/>
        <w:adjustRightInd w:val="0"/>
        <w:spacing w:after="0" w:line="240" w:lineRule="auto"/>
        <w:rPr>
          <w:rFonts w:ascii="Verdana" w:hAnsi="Verdana" w:cs="Verdana"/>
          <w:color w:val="000000"/>
          <w:sz w:val="20"/>
          <w:szCs w:val="20"/>
          <w:lang w:val="en-US"/>
        </w:rPr>
      </w:pPr>
    </w:p>
    <w:p w:rsidR="00511092" w:rsidRDefault="00511092" w:rsidP="00511092">
      <w:p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The effectiveness of the University’s Risk Management processes will be subject to regular Internal Audit review.</w:t>
      </w:r>
    </w:p>
    <w:p w:rsidR="00511092" w:rsidRDefault="00511092" w:rsidP="00511092">
      <w:pPr>
        <w:autoSpaceDE w:val="0"/>
        <w:autoSpaceDN w:val="0"/>
        <w:adjustRightInd w:val="0"/>
        <w:spacing w:after="0" w:line="240" w:lineRule="auto"/>
        <w:rPr>
          <w:rFonts w:ascii="Verdana" w:hAnsi="Verdana" w:cs="Verdana"/>
          <w:color w:val="000000"/>
          <w:sz w:val="20"/>
          <w:szCs w:val="20"/>
          <w:lang w:val="en-US"/>
        </w:rPr>
      </w:pPr>
    </w:p>
    <w:p w:rsidR="00BC6122" w:rsidRPr="002B1FDD" w:rsidRDefault="00BC6122" w:rsidP="000A4229">
      <w:pPr>
        <w:pStyle w:val="ColorfulList-Accent11"/>
        <w:spacing w:before="120" w:after="120"/>
        <w:ind w:left="0"/>
        <w:jc w:val="both"/>
        <w:rPr>
          <w:rFonts w:ascii="Verdana" w:hAnsi="Verdana" w:cs="Arial"/>
          <w:b/>
          <w:sz w:val="20"/>
          <w:szCs w:val="20"/>
        </w:rPr>
      </w:pPr>
    </w:p>
    <w:p w:rsidR="002B1FDD" w:rsidRPr="002B1FDD" w:rsidRDefault="002B1FDD" w:rsidP="000A4229">
      <w:pPr>
        <w:pStyle w:val="ColorfulList-Accent11"/>
        <w:spacing w:before="120" w:after="120"/>
        <w:ind w:left="0"/>
        <w:jc w:val="both"/>
        <w:rPr>
          <w:rFonts w:ascii="Verdana" w:hAnsi="Verdana" w:cs="Arial"/>
          <w:b/>
          <w:sz w:val="20"/>
          <w:szCs w:val="20"/>
        </w:rPr>
      </w:pPr>
      <w:r w:rsidRPr="002B1FDD">
        <w:rPr>
          <w:rFonts w:ascii="Verdana" w:hAnsi="Verdana" w:cs="Arial"/>
          <w:b/>
          <w:sz w:val="20"/>
          <w:szCs w:val="20"/>
        </w:rPr>
        <w:t>b.</w:t>
      </w:r>
      <w:r w:rsidRPr="002B1FDD">
        <w:rPr>
          <w:rFonts w:ascii="Verdana" w:hAnsi="Verdana" w:cs="Arial"/>
          <w:b/>
          <w:sz w:val="20"/>
          <w:szCs w:val="20"/>
        </w:rPr>
        <w:tab/>
        <w:t>Risk reporting cycle</w:t>
      </w:r>
    </w:p>
    <w:p w:rsidR="002B1FDD" w:rsidRPr="002B1FDD" w:rsidRDefault="002B1FDD" w:rsidP="000A4229">
      <w:pPr>
        <w:pStyle w:val="ColorfulList-Accent11"/>
        <w:spacing w:before="120" w:after="120"/>
        <w:ind w:left="0"/>
        <w:jc w:val="both"/>
        <w:rPr>
          <w:rFonts w:ascii="Verdana" w:hAnsi="Verdana" w:cs="Arial"/>
          <w:sz w:val="20"/>
          <w:szCs w:val="20"/>
        </w:rPr>
      </w:pPr>
    </w:p>
    <w:p w:rsidR="002B1FDD" w:rsidRPr="002B1FDD" w:rsidRDefault="002B1FDD" w:rsidP="000A4229">
      <w:pPr>
        <w:pStyle w:val="ColorfulList-Accent11"/>
        <w:spacing w:before="120" w:after="120"/>
        <w:ind w:left="0"/>
        <w:jc w:val="both"/>
        <w:rPr>
          <w:rFonts w:ascii="Verdana" w:hAnsi="Verdana" w:cs="Arial"/>
          <w:sz w:val="20"/>
          <w:szCs w:val="20"/>
          <w:lang w:eastAsia="en-GB"/>
        </w:rPr>
      </w:pPr>
      <w:r w:rsidRPr="002B1FDD">
        <w:rPr>
          <w:rFonts w:ascii="Verdana" w:hAnsi="Verdana" w:cs="Arial"/>
          <w:sz w:val="20"/>
          <w:szCs w:val="20"/>
          <w:lang w:eastAsia="en-GB"/>
        </w:rPr>
        <w:t xml:space="preserve">Departmental </w:t>
      </w:r>
      <w:r w:rsidR="00061071">
        <w:rPr>
          <w:rFonts w:ascii="Verdana" w:hAnsi="Verdana" w:cs="Arial"/>
          <w:sz w:val="20"/>
          <w:szCs w:val="20"/>
          <w:lang w:eastAsia="en-GB"/>
        </w:rPr>
        <w:t xml:space="preserve">(local) </w:t>
      </w:r>
      <w:r w:rsidRPr="002B1FDD">
        <w:rPr>
          <w:rFonts w:ascii="Verdana" w:hAnsi="Verdana" w:cs="Arial"/>
          <w:sz w:val="20"/>
          <w:szCs w:val="20"/>
          <w:lang w:eastAsia="en-GB"/>
        </w:rPr>
        <w:t>risk</w:t>
      </w:r>
      <w:r w:rsidR="00061071">
        <w:rPr>
          <w:rFonts w:ascii="Verdana" w:hAnsi="Verdana" w:cs="Arial"/>
          <w:sz w:val="20"/>
          <w:szCs w:val="20"/>
          <w:lang w:eastAsia="en-GB"/>
        </w:rPr>
        <w:t xml:space="preserve"> registers</w:t>
      </w:r>
      <w:r w:rsidRPr="002B1FDD">
        <w:rPr>
          <w:rFonts w:ascii="Verdana" w:hAnsi="Verdana" w:cs="Arial"/>
          <w:sz w:val="20"/>
          <w:szCs w:val="20"/>
          <w:lang w:eastAsia="en-GB"/>
        </w:rPr>
        <w:t xml:space="preserve"> are collected according to a timetable which aligns with</w:t>
      </w:r>
      <w:r w:rsidR="00EE43FA">
        <w:rPr>
          <w:rFonts w:ascii="Verdana" w:hAnsi="Verdana" w:cs="Arial"/>
          <w:sz w:val="20"/>
          <w:szCs w:val="20"/>
          <w:lang w:eastAsia="en-GB"/>
        </w:rPr>
        <w:t xml:space="preserve"> the start of the new academic year and Planning Round.  </w:t>
      </w:r>
    </w:p>
    <w:p w:rsidR="002B1FDD" w:rsidRPr="002B1FDD" w:rsidRDefault="002B1FDD" w:rsidP="000A4229">
      <w:pPr>
        <w:pStyle w:val="ColorfulList-Accent11"/>
        <w:spacing w:before="120" w:after="120"/>
        <w:ind w:left="0"/>
        <w:jc w:val="both"/>
        <w:rPr>
          <w:rFonts w:ascii="Verdana" w:hAnsi="Verdana" w:cs="Arial"/>
          <w:sz w:val="20"/>
          <w:szCs w:val="20"/>
          <w:lang w:eastAsia="en-GB"/>
        </w:rPr>
      </w:pPr>
    </w:p>
    <w:p w:rsidR="00870660" w:rsidRDefault="00870660" w:rsidP="00D2491D">
      <w:pPr>
        <w:pStyle w:val="ColorfulList-Accent11"/>
        <w:spacing w:before="120" w:after="120"/>
        <w:ind w:left="0"/>
        <w:jc w:val="both"/>
        <w:rPr>
          <w:rFonts w:ascii="Verdana" w:hAnsi="Verdana" w:cs="Arial"/>
          <w:sz w:val="20"/>
          <w:szCs w:val="20"/>
          <w:lang w:eastAsia="en-GB"/>
        </w:rPr>
      </w:pPr>
      <w:r>
        <w:rPr>
          <w:rFonts w:ascii="Verdana" w:hAnsi="Verdana" w:cs="Arial"/>
          <w:sz w:val="20"/>
          <w:szCs w:val="20"/>
          <w:lang w:eastAsia="en-GB"/>
        </w:rPr>
        <w:t>Updating the l</w:t>
      </w:r>
      <w:r w:rsidR="00C66FA0">
        <w:rPr>
          <w:rFonts w:ascii="Verdana" w:hAnsi="Verdana" w:cs="Arial"/>
          <w:sz w:val="20"/>
          <w:szCs w:val="20"/>
          <w:lang w:eastAsia="en-GB"/>
        </w:rPr>
        <w:t xml:space="preserve">ocal risk registers should </w:t>
      </w:r>
      <w:r>
        <w:rPr>
          <w:rFonts w:ascii="Verdana" w:hAnsi="Verdana" w:cs="Arial"/>
          <w:sz w:val="20"/>
          <w:szCs w:val="20"/>
          <w:lang w:eastAsia="en-GB"/>
        </w:rPr>
        <w:t xml:space="preserve">form part of the regular </w:t>
      </w:r>
      <w:r w:rsidR="00061071">
        <w:rPr>
          <w:rFonts w:ascii="Verdana" w:hAnsi="Verdana" w:cs="Arial"/>
          <w:sz w:val="20"/>
          <w:szCs w:val="20"/>
          <w:lang w:eastAsia="en-GB"/>
        </w:rPr>
        <w:t>management</w:t>
      </w:r>
      <w:r>
        <w:rPr>
          <w:rFonts w:ascii="Verdana" w:hAnsi="Verdana" w:cs="Arial"/>
          <w:sz w:val="20"/>
          <w:szCs w:val="20"/>
          <w:lang w:eastAsia="en-GB"/>
        </w:rPr>
        <w:t xml:space="preserve"> processes </w:t>
      </w:r>
      <w:r w:rsidR="00061071">
        <w:rPr>
          <w:rFonts w:ascii="Verdana" w:hAnsi="Verdana" w:cs="Arial"/>
          <w:sz w:val="20"/>
          <w:szCs w:val="20"/>
          <w:lang w:eastAsia="en-GB"/>
        </w:rPr>
        <w:t>within the</w:t>
      </w:r>
      <w:r>
        <w:rPr>
          <w:rFonts w:ascii="Verdana" w:hAnsi="Verdana" w:cs="Arial"/>
          <w:sz w:val="20"/>
          <w:szCs w:val="20"/>
          <w:lang w:eastAsia="en-GB"/>
        </w:rPr>
        <w:t xml:space="preserve"> </w:t>
      </w:r>
      <w:r w:rsidR="00511092">
        <w:rPr>
          <w:rFonts w:ascii="Verdana" w:hAnsi="Verdana" w:cs="Arial"/>
          <w:sz w:val="20"/>
          <w:szCs w:val="20"/>
          <w:lang w:eastAsia="en-GB"/>
        </w:rPr>
        <w:t xml:space="preserve">Faculty </w:t>
      </w:r>
      <w:r w:rsidR="00061071">
        <w:rPr>
          <w:rFonts w:ascii="Verdana" w:hAnsi="Verdana" w:cs="Arial"/>
          <w:sz w:val="20"/>
          <w:szCs w:val="20"/>
          <w:lang w:eastAsia="en-GB"/>
        </w:rPr>
        <w:t xml:space="preserve">or Professional Services Department, and discussed at Executive / </w:t>
      </w:r>
      <w:r>
        <w:rPr>
          <w:rFonts w:ascii="Verdana" w:hAnsi="Verdana" w:cs="Arial"/>
          <w:sz w:val="20"/>
          <w:szCs w:val="20"/>
          <w:lang w:eastAsia="en-GB"/>
        </w:rPr>
        <w:t xml:space="preserve">Senior Team meetings or equivalent.  </w:t>
      </w:r>
      <w:r w:rsidR="00D2491D">
        <w:rPr>
          <w:rFonts w:ascii="Verdana" w:hAnsi="Verdana" w:cs="Arial"/>
          <w:sz w:val="20"/>
          <w:szCs w:val="20"/>
          <w:lang w:eastAsia="en-GB"/>
        </w:rPr>
        <w:t xml:space="preserve">The Executive will receive a full report on all Departmental and Major Project risk registers twice a year, </w:t>
      </w:r>
      <w:r w:rsidR="002B1FDD" w:rsidRPr="002B1FDD">
        <w:rPr>
          <w:rFonts w:ascii="Verdana" w:hAnsi="Verdana" w:cs="Arial"/>
          <w:sz w:val="20"/>
          <w:szCs w:val="20"/>
          <w:lang w:eastAsia="en-GB"/>
        </w:rPr>
        <w:t>around,</w:t>
      </w:r>
      <w:r w:rsidR="00EE43FA">
        <w:rPr>
          <w:rFonts w:ascii="Verdana" w:hAnsi="Verdana" w:cs="Arial"/>
          <w:sz w:val="20"/>
          <w:szCs w:val="20"/>
          <w:lang w:eastAsia="en-GB"/>
        </w:rPr>
        <w:t xml:space="preserve"> October and April</w:t>
      </w:r>
      <w:r w:rsidR="00511092">
        <w:rPr>
          <w:rFonts w:ascii="Verdana" w:hAnsi="Verdana" w:cs="Arial"/>
          <w:sz w:val="20"/>
          <w:szCs w:val="20"/>
          <w:lang w:eastAsia="en-GB"/>
        </w:rPr>
        <w:t>,</w:t>
      </w:r>
      <w:r w:rsidR="00550E15">
        <w:rPr>
          <w:rFonts w:ascii="Verdana" w:hAnsi="Verdana" w:cs="Arial"/>
          <w:sz w:val="20"/>
          <w:szCs w:val="20"/>
          <w:lang w:eastAsia="en-GB"/>
        </w:rPr>
        <w:t xml:space="preserve"> and through the Planning Round.  </w:t>
      </w:r>
    </w:p>
    <w:p w:rsidR="00870660" w:rsidRDefault="00870660" w:rsidP="000A4229">
      <w:pPr>
        <w:pStyle w:val="ColorfulList-Accent11"/>
        <w:spacing w:before="120" w:after="120"/>
        <w:ind w:left="0"/>
        <w:jc w:val="both"/>
        <w:rPr>
          <w:rFonts w:ascii="Verdana" w:hAnsi="Verdana" w:cs="Arial"/>
          <w:sz w:val="20"/>
          <w:szCs w:val="20"/>
          <w:lang w:eastAsia="en-GB"/>
        </w:rPr>
      </w:pPr>
    </w:p>
    <w:p w:rsidR="002B1FDD" w:rsidRPr="002B1FDD" w:rsidRDefault="00870660" w:rsidP="000A4229">
      <w:pPr>
        <w:pStyle w:val="ColorfulList-Accent11"/>
        <w:spacing w:before="120" w:after="120"/>
        <w:ind w:left="0"/>
        <w:jc w:val="both"/>
        <w:rPr>
          <w:rFonts w:ascii="Verdana" w:hAnsi="Verdana" w:cs="Arial"/>
          <w:sz w:val="20"/>
          <w:szCs w:val="20"/>
          <w:lang w:eastAsia="en-GB"/>
        </w:rPr>
      </w:pPr>
      <w:r>
        <w:rPr>
          <w:rFonts w:ascii="Verdana" w:hAnsi="Verdana" w:cs="Arial"/>
          <w:sz w:val="20"/>
          <w:szCs w:val="20"/>
          <w:lang w:eastAsia="en-GB"/>
        </w:rPr>
        <w:t>If there are any significant changes to the local risk register outside of the normal reporting cycle (e.g. new risks emerging or large increases to existing risks) these should be reported to the Planning Department as soon as possible.</w:t>
      </w:r>
    </w:p>
    <w:p w:rsidR="002B1FDD" w:rsidRDefault="002B1FDD"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Default="00511092" w:rsidP="000A4229">
      <w:pPr>
        <w:pStyle w:val="ColorfulList-Accent11"/>
        <w:spacing w:before="120" w:after="120"/>
        <w:ind w:left="0"/>
        <w:jc w:val="both"/>
        <w:rPr>
          <w:rFonts w:ascii="Verdana" w:hAnsi="Verdana" w:cs="Arial"/>
          <w:sz w:val="20"/>
          <w:szCs w:val="20"/>
          <w:lang w:eastAsia="en-GB"/>
        </w:rPr>
      </w:pPr>
    </w:p>
    <w:p w:rsidR="00511092" w:rsidRPr="002B1FDD" w:rsidRDefault="00511092" w:rsidP="000A4229">
      <w:pPr>
        <w:pStyle w:val="ColorfulList-Accent11"/>
        <w:spacing w:before="120" w:after="120"/>
        <w:ind w:left="0"/>
        <w:jc w:val="both"/>
        <w:rPr>
          <w:rFonts w:ascii="Verdana" w:hAnsi="Verdana" w:cs="Arial"/>
          <w:sz w:val="20"/>
          <w:szCs w:val="20"/>
          <w:lang w:eastAsia="en-GB"/>
        </w:rPr>
      </w:pPr>
    </w:p>
    <w:p w:rsidR="002B1FDD" w:rsidRPr="002B1FDD" w:rsidRDefault="002B1FDD" w:rsidP="002B1FDD">
      <w:pPr>
        <w:pStyle w:val="ColorfulList-Accent11"/>
        <w:ind w:left="0"/>
        <w:rPr>
          <w:rFonts w:ascii="Verdana" w:hAnsi="Verdana" w:cs="Calibri"/>
          <w:b/>
          <w:sz w:val="20"/>
          <w:szCs w:val="20"/>
        </w:rPr>
      </w:pPr>
      <w:r w:rsidRPr="002B1FDD">
        <w:rPr>
          <w:rFonts w:ascii="Verdana" w:hAnsi="Verdana" w:cs="Calibri"/>
          <w:b/>
          <w:sz w:val="20"/>
          <w:szCs w:val="20"/>
        </w:rPr>
        <w:lastRenderedPageBreak/>
        <w:t>Appendices</w:t>
      </w:r>
    </w:p>
    <w:p w:rsidR="002B1FDD" w:rsidRPr="002B1FDD" w:rsidRDefault="002B1FDD" w:rsidP="002B1FDD">
      <w:pPr>
        <w:pStyle w:val="ColorfulList-Accent11"/>
        <w:ind w:left="0"/>
        <w:rPr>
          <w:rFonts w:ascii="Verdana" w:hAnsi="Verdana" w:cs="Calibri"/>
          <w:b/>
          <w:sz w:val="20"/>
          <w:szCs w:val="20"/>
        </w:rPr>
      </w:pPr>
    </w:p>
    <w:p w:rsidR="002B1FDD" w:rsidRPr="002B1FDD" w:rsidRDefault="002B1FDD" w:rsidP="002B1FDD">
      <w:pPr>
        <w:pStyle w:val="ColorfulList-Accent11"/>
        <w:spacing w:before="120" w:after="120"/>
        <w:ind w:left="0"/>
        <w:rPr>
          <w:rFonts w:ascii="Verdana" w:hAnsi="Verdana" w:cs="Calibri"/>
          <w:sz w:val="20"/>
          <w:szCs w:val="20"/>
        </w:rPr>
      </w:pPr>
      <w:r w:rsidRPr="002B1FDD">
        <w:rPr>
          <w:rFonts w:ascii="Verdana" w:hAnsi="Verdana" w:cs="Calibri"/>
          <w:sz w:val="20"/>
          <w:szCs w:val="20"/>
        </w:rPr>
        <w:t>The following are appendices:</w:t>
      </w:r>
    </w:p>
    <w:p w:rsidR="002B1FDD" w:rsidRPr="002B1FDD" w:rsidRDefault="002B1FDD" w:rsidP="002B1FDD">
      <w:pPr>
        <w:pStyle w:val="ColorfulList-Accent11"/>
        <w:spacing w:before="120" w:after="120"/>
        <w:ind w:left="0"/>
        <w:rPr>
          <w:rFonts w:ascii="Verdana" w:hAnsi="Verdana" w:cs="Calibri"/>
          <w:sz w:val="20"/>
          <w:szCs w:val="20"/>
        </w:rPr>
      </w:pPr>
      <w:r w:rsidRPr="002B1FDD">
        <w:rPr>
          <w:rFonts w:ascii="Verdana" w:hAnsi="Verdana" w:cs="Calibri"/>
          <w:sz w:val="20"/>
          <w:szCs w:val="20"/>
        </w:rPr>
        <w:tab/>
      </w:r>
      <w:r w:rsidRPr="002B1FDD">
        <w:rPr>
          <w:rFonts w:ascii="Verdana" w:hAnsi="Verdana" w:cs="Calibri"/>
          <w:sz w:val="20"/>
          <w:szCs w:val="20"/>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2B1FDD" w:rsidRPr="002B1FDD" w:rsidTr="00952AB4">
        <w:tc>
          <w:tcPr>
            <w:tcW w:w="1843" w:type="dxa"/>
          </w:tcPr>
          <w:p w:rsidR="002B1FDD" w:rsidRPr="002B1FDD" w:rsidRDefault="002B1FDD" w:rsidP="00952AB4">
            <w:pPr>
              <w:spacing w:after="0" w:line="240" w:lineRule="auto"/>
              <w:rPr>
                <w:rFonts w:ascii="Verdana" w:hAnsi="Verdana" w:cs="Calibri"/>
                <w:sz w:val="20"/>
                <w:szCs w:val="20"/>
              </w:rPr>
            </w:pPr>
            <w:r w:rsidRPr="002B1FDD">
              <w:rPr>
                <w:rFonts w:ascii="Verdana" w:hAnsi="Verdana" w:cs="Calibri"/>
                <w:sz w:val="20"/>
                <w:szCs w:val="20"/>
              </w:rPr>
              <w:t>Appendix A</w:t>
            </w:r>
          </w:p>
        </w:tc>
        <w:tc>
          <w:tcPr>
            <w:tcW w:w="7371" w:type="dxa"/>
          </w:tcPr>
          <w:p w:rsidR="002B1FDD" w:rsidRPr="002B1FDD" w:rsidRDefault="002B1FDD" w:rsidP="00952AB4">
            <w:pPr>
              <w:spacing w:after="0" w:line="240" w:lineRule="auto"/>
              <w:rPr>
                <w:rFonts w:ascii="Verdana" w:hAnsi="Verdana" w:cs="Calibri"/>
                <w:sz w:val="20"/>
                <w:szCs w:val="20"/>
              </w:rPr>
            </w:pPr>
            <w:r w:rsidRPr="002B1FDD">
              <w:rPr>
                <w:rFonts w:ascii="Verdana" w:hAnsi="Verdana" w:cs="Calibri"/>
                <w:sz w:val="20"/>
                <w:szCs w:val="20"/>
              </w:rPr>
              <w:t>Risk Management Policy Statement</w:t>
            </w:r>
          </w:p>
        </w:tc>
      </w:tr>
      <w:tr w:rsidR="002B1FDD" w:rsidRPr="002B1FDD" w:rsidTr="00952AB4">
        <w:trPr>
          <w:trHeight w:val="223"/>
        </w:trPr>
        <w:tc>
          <w:tcPr>
            <w:tcW w:w="1843" w:type="dxa"/>
          </w:tcPr>
          <w:p w:rsidR="002B1FDD" w:rsidRPr="002B1FDD" w:rsidRDefault="002B1FDD" w:rsidP="00952AB4">
            <w:pPr>
              <w:spacing w:after="0" w:line="240" w:lineRule="auto"/>
              <w:rPr>
                <w:rFonts w:ascii="Verdana" w:hAnsi="Verdana" w:cs="Calibri"/>
                <w:sz w:val="20"/>
                <w:szCs w:val="20"/>
              </w:rPr>
            </w:pPr>
            <w:r w:rsidRPr="002B1FDD">
              <w:rPr>
                <w:rFonts w:ascii="Verdana" w:hAnsi="Verdana" w:cs="Calibri"/>
                <w:sz w:val="20"/>
                <w:szCs w:val="20"/>
              </w:rPr>
              <w:t xml:space="preserve">Appendix </w:t>
            </w:r>
            <w:r w:rsidR="00511092">
              <w:rPr>
                <w:rFonts w:ascii="Verdana" w:hAnsi="Verdana" w:cs="Calibri"/>
                <w:sz w:val="20"/>
                <w:szCs w:val="20"/>
              </w:rPr>
              <w:t>B</w:t>
            </w:r>
          </w:p>
        </w:tc>
        <w:tc>
          <w:tcPr>
            <w:tcW w:w="7371" w:type="dxa"/>
          </w:tcPr>
          <w:p w:rsidR="002B1FDD" w:rsidRPr="002B1FDD" w:rsidRDefault="002B1FDD" w:rsidP="00952AB4">
            <w:pPr>
              <w:pStyle w:val="ColorfulList-Accent11"/>
              <w:ind w:left="0"/>
              <w:rPr>
                <w:rFonts w:ascii="Verdana" w:hAnsi="Verdana" w:cs="Calibri"/>
                <w:sz w:val="20"/>
                <w:szCs w:val="20"/>
              </w:rPr>
            </w:pPr>
            <w:r w:rsidRPr="002B1FDD">
              <w:rPr>
                <w:rFonts w:ascii="Verdana" w:hAnsi="Verdana" w:cs="Calibri"/>
                <w:sz w:val="20"/>
                <w:szCs w:val="20"/>
              </w:rPr>
              <w:t>Risk Register template</w:t>
            </w:r>
            <w:r w:rsidR="00CE521B">
              <w:rPr>
                <w:rFonts w:ascii="Verdana" w:hAnsi="Verdana" w:cs="Calibri"/>
                <w:sz w:val="20"/>
                <w:szCs w:val="20"/>
              </w:rPr>
              <w:t xml:space="preserve"> for assistance in developing new risk registers prior to uploading to the online system</w:t>
            </w:r>
          </w:p>
        </w:tc>
      </w:tr>
      <w:tr w:rsidR="002B1FDD" w:rsidRPr="002B1FDD" w:rsidTr="00952AB4">
        <w:trPr>
          <w:trHeight w:val="237"/>
        </w:trPr>
        <w:tc>
          <w:tcPr>
            <w:tcW w:w="1843" w:type="dxa"/>
          </w:tcPr>
          <w:p w:rsidR="002B1FDD" w:rsidRPr="002B1FDD" w:rsidRDefault="002B1FDD" w:rsidP="00952AB4">
            <w:pPr>
              <w:spacing w:after="0" w:line="240" w:lineRule="auto"/>
              <w:rPr>
                <w:rFonts w:ascii="Verdana" w:hAnsi="Verdana" w:cs="Calibri"/>
                <w:sz w:val="20"/>
                <w:szCs w:val="20"/>
              </w:rPr>
            </w:pPr>
            <w:r w:rsidRPr="002B1FDD">
              <w:rPr>
                <w:rFonts w:ascii="Verdana" w:hAnsi="Verdana" w:cs="Calibri"/>
                <w:sz w:val="20"/>
                <w:szCs w:val="20"/>
              </w:rPr>
              <w:t xml:space="preserve">Appendix </w:t>
            </w:r>
            <w:r w:rsidR="00511092">
              <w:rPr>
                <w:rFonts w:ascii="Verdana" w:hAnsi="Verdana" w:cs="Calibri"/>
                <w:sz w:val="20"/>
                <w:szCs w:val="20"/>
              </w:rPr>
              <w:t>C</w:t>
            </w:r>
          </w:p>
        </w:tc>
        <w:tc>
          <w:tcPr>
            <w:tcW w:w="7371" w:type="dxa"/>
          </w:tcPr>
          <w:p w:rsidR="002B1FDD" w:rsidRPr="002B1FDD" w:rsidRDefault="002B1FDD" w:rsidP="00952AB4">
            <w:pPr>
              <w:spacing w:after="0" w:line="240" w:lineRule="auto"/>
              <w:rPr>
                <w:rFonts w:ascii="Verdana" w:hAnsi="Verdana" w:cs="Calibri"/>
                <w:sz w:val="20"/>
                <w:szCs w:val="20"/>
              </w:rPr>
            </w:pPr>
            <w:r w:rsidRPr="002B1FDD">
              <w:rPr>
                <w:rFonts w:ascii="Verdana" w:hAnsi="Verdana" w:cs="Calibri"/>
                <w:sz w:val="20"/>
                <w:szCs w:val="20"/>
              </w:rPr>
              <w:t>Matrix for colour coding the combined impact / likelihood score (5 x 5 scale)</w:t>
            </w:r>
          </w:p>
        </w:tc>
      </w:tr>
    </w:tbl>
    <w:p w:rsidR="002B1FDD" w:rsidRPr="002B1FDD" w:rsidRDefault="002B1FDD" w:rsidP="002B1FDD">
      <w:pPr>
        <w:pStyle w:val="ColorfulList-Accent11"/>
        <w:spacing w:before="120" w:after="120"/>
        <w:ind w:left="0"/>
        <w:rPr>
          <w:rFonts w:ascii="Verdana" w:hAnsi="Verdana" w:cs="Calibri"/>
          <w:b/>
          <w:sz w:val="20"/>
          <w:szCs w:val="20"/>
        </w:rPr>
      </w:pPr>
      <w:r w:rsidRPr="002B1FDD">
        <w:rPr>
          <w:rFonts w:ascii="Verdana" w:hAnsi="Verdana" w:cs="Calibri"/>
          <w:b/>
          <w:sz w:val="20"/>
          <w:szCs w:val="20"/>
        </w:rPr>
        <w:tab/>
      </w:r>
    </w:p>
    <w:p w:rsidR="002B1FDD" w:rsidRPr="002B1FDD" w:rsidRDefault="002B1FDD" w:rsidP="002B1FDD">
      <w:pPr>
        <w:pStyle w:val="Heading1"/>
        <w:jc w:val="center"/>
        <w:rPr>
          <w:rFonts w:ascii="Verdana" w:hAnsi="Verdana" w:cs="Calibri"/>
          <w:sz w:val="20"/>
          <w:szCs w:val="20"/>
        </w:rPr>
      </w:pPr>
      <w:r w:rsidRPr="00FB3892">
        <w:rPr>
          <w:rFonts w:ascii="Calibri" w:hAnsi="Calibri" w:cs="Calibri"/>
          <w:b w:val="0"/>
          <w:sz w:val="32"/>
          <w:szCs w:val="32"/>
        </w:rPr>
        <w:br w:type="page"/>
      </w:r>
      <w:r w:rsidRPr="002B1FDD">
        <w:rPr>
          <w:rFonts w:ascii="Verdana" w:hAnsi="Verdana" w:cs="Calibri"/>
          <w:sz w:val="20"/>
          <w:szCs w:val="20"/>
        </w:rPr>
        <w:lastRenderedPageBreak/>
        <w:t>Appendix A</w:t>
      </w:r>
    </w:p>
    <w:p w:rsidR="002B1FDD" w:rsidRPr="000A4229" w:rsidRDefault="002B1FDD" w:rsidP="002B1FDD">
      <w:pPr>
        <w:pStyle w:val="Heading1"/>
        <w:jc w:val="center"/>
        <w:rPr>
          <w:rFonts w:ascii="Verdana" w:hAnsi="Verdana" w:cs="Arial"/>
          <w:sz w:val="20"/>
          <w:szCs w:val="20"/>
        </w:rPr>
      </w:pPr>
      <w:r w:rsidRPr="000A4229">
        <w:rPr>
          <w:rFonts w:ascii="Verdana" w:hAnsi="Verdana" w:cs="Arial"/>
          <w:sz w:val="20"/>
          <w:szCs w:val="20"/>
        </w:rPr>
        <w:t>AU Risk Management Policy Statement</w:t>
      </w:r>
    </w:p>
    <w:p w:rsidR="00511092" w:rsidRDefault="00511092" w:rsidP="000A4229">
      <w:pPr>
        <w:pStyle w:val="NormalWeb"/>
        <w:numPr>
          <w:ilvl w:val="0"/>
          <w:numId w:val="12"/>
        </w:numPr>
        <w:spacing w:after="200" w:afterAutospacing="0"/>
        <w:jc w:val="both"/>
        <w:rPr>
          <w:rFonts w:ascii="Verdana" w:hAnsi="Verdana" w:cs="Arial"/>
          <w:color w:val="333333"/>
          <w:sz w:val="20"/>
          <w:szCs w:val="20"/>
        </w:rPr>
      </w:pPr>
      <w:r>
        <w:rPr>
          <w:rFonts w:ascii="Verdana" w:hAnsi="Verdana" w:cs="Arial"/>
          <w:color w:val="333333"/>
          <w:sz w:val="20"/>
          <w:szCs w:val="20"/>
        </w:rPr>
        <w:t>Risk management and internal control are linked to the fulfilment of the University’s Mission and Aims at all levels, and in all areas</w:t>
      </w:r>
    </w:p>
    <w:p w:rsidR="002B1FDD" w:rsidRP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The University views the taking of risk as an essential part of the business of higher education, in its management of core educational activities as well as its supporting activities.</w:t>
      </w:r>
    </w:p>
    <w:p w:rsidR="002B1FDD" w:rsidRP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 xml:space="preserve">Risk is not only about threats to business that have to be managed; it is equally about the failure to seize opportunities. </w:t>
      </w:r>
    </w:p>
    <w:p w:rsidR="002B1FDD" w:rsidRP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 xml:space="preserve">The University also sees the strategic management of risk as an integral element within its decision-making processes and culture, supporting effective planning and evaluation of its activities, including encouragement of innovation and the management of change. Risk management is accepted as a creative component of management generally, not an "add-on". </w:t>
      </w:r>
    </w:p>
    <w:p w:rsid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It is accepted as axiomatic that good management is effective risk management, th</w:t>
      </w:r>
      <w:r w:rsidR="009753FF">
        <w:rPr>
          <w:rFonts w:ascii="Verdana" w:hAnsi="Verdana" w:cs="Arial"/>
          <w:color w:val="333333"/>
          <w:sz w:val="20"/>
          <w:szCs w:val="20"/>
        </w:rPr>
        <w:t>r</w:t>
      </w:r>
      <w:r w:rsidRPr="002B1FDD">
        <w:rPr>
          <w:rFonts w:ascii="Verdana" w:hAnsi="Verdana" w:cs="Arial"/>
          <w:color w:val="333333"/>
          <w:sz w:val="20"/>
          <w:szCs w:val="20"/>
        </w:rPr>
        <w:t xml:space="preserve">ough the incorporation of systematic processes, engaging the whole of the institution, from its Council and Executive, through to Academic </w:t>
      </w:r>
      <w:r w:rsidR="009753FF">
        <w:rPr>
          <w:rFonts w:ascii="Verdana" w:hAnsi="Verdana" w:cs="Arial"/>
          <w:color w:val="333333"/>
          <w:sz w:val="20"/>
          <w:szCs w:val="20"/>
        </w:rPr>
        <w:t>Faculties</w:t>
      </w:r>
      <w:r w:rsidR="009753FF" w:rsidRPr="002B1FDD">
        <w:rPr>
          <w:rFonts w:ascii="Verdana" w:hAnsi="Verdana" w:cs="Arial"/>
          <w:color w:val="333333"/>
          <w:sz w:val="20"/>
          <w:szCs w:val="20"/>
        </w:rPr>
        <w:t xml:space="preserve"> </w:t>
      </w:r>
      <w:r w:rsidRPr="002B1FDD">
        <w:rPr>
          <w:rFonts w:ascii="Verdana" w:hAnsi="Verdana" w:cs="Arial"/>
          <w:color w:val="333333"/>
          <w:sz w:val="20"/>
          <w:szCs w:val="20"/>
        </w:rPr>
        <w:t xml:space="preserve">and Service Departments. </w:t>
      </w:r>
    </w:p>
    <w:p w:rsidR="00806847" w:rsidRPr="002B1FDD" w:rsidRDefault="00806847" w:rsidP="000A4229">
      <w:pPr>
        <w:pStyle w:val="NormalWeb"/>
        <w:numPr>
          <w:ilvl w:val="0"/>
          <w:numId w:val="12"/>
        </w:numPr>
        <w:spacing w:after="200" w:afterAutospacing="0"/>
        <w:jc w:val="both"/>
        <w:rPr>
          <w:rFonts w:ascii="Verdana" w:hAnsi="Verdana" w:cs="Arial"/>
          <w:color w:val="333333"/>
          <w:sz w:val="20"/>
          <w:szCs w:val="20"/>
        </w:rPr>
      </w:pPr>
      <w:r w:rsidRPr="00EE2AEA">
        <w:rPr>
          <w:rFonts w:ascii="Verdana" w:hAnsi="Verdana" w:cs="Verdana"/>
          <w:color w:val="000000"/>
          <w:sz w:val="20"/>
          <w:szCs w:val="20"/>
          <w:lang w:val="en-US"/>
        </w:rPr>
        <w:t>The Governing Body will oversee the implementation of these objectives through the University Executive who will have overall responsibility for ensuring that procedures are in place to maintain effective management of risk</w:t>
      </w:r>
      <w:r w:rsidRPr="00EE2AEA">
        <w:rPr>
          <w:rFonts w:cs="Calibri"/>
          <w:color w:val="000000"/>
          <w:sz w:val="20"/>
          <w:szCs w:val="20"/>
          <w:lang w:val="en-US"/>
        </w:rPr>
        <w:t>.</w:t>
      </w:r>
    </w:p>
    <w:p w:rsid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 xml:space="preserve">The role of the </w:t>
      </w:r>
      <w:r w:rsidR="001742CA">
        <w:rPr>
          <w:rFonts w:ascii="Verdana" w:hAnsi="Verdana" w:cs="Arial"/>
          <w:color w:val="333333"/>
          <w:sz w:val="20"/>
          <w:szCs w:val="20"/>
        </w:rPr>
        <w:t>Audit, R</w:t>
      </w:r>
      <w:r w:rsidR="00806847">
        <w:rPr>
          <w:rFonts w:ascii="Verdana" w:hAnsi="Verdana" w:cs="Arial"/>
          <w:color w:val="333333"/>
          <w:sz w:val="20"/>
          <w:szCs w:val="20"/>
        </w:rPr>
        <w:t>isk</w:t>
      </w:r>
      <w:r w:rsidR="001742CA">
        <w:rPr>
          <w:rFonts w:ascii="Verdana" w:hAnsi="Verdana" w:cs="Arial"/>
          <w:color w:val="333333"/>
          <w:sz w:val="20"/>
          <w:szCs w:val="20"/>
        </w:rPr>
        <w:t xml:space="preserve"> and</w:t>
      </w:r>
      <w:r w:rsidR="00806847">
        <w:rPr>
          <w:rFonts w:ascii="Verdana" w:hAnsi="Verdana" w:cs="Arial"/>
          <w:color w:val="333333"/>
          <w:sz w:val="20"/>
          <w:szCs w:val="20"/>
        </w:rPr>
        <w:t xml:space="preserve"> Assurance Committee is to advise the Governing Body on the effectiveness of the institution’s risk management, control and governance arrangements and the arrangements to promote economy, efficiency and effectiveness (Value for Money)</w:t>
      </w:r>
      <w:r w:rsidRPr="002B1FDD">
        <w:rPr>
          <w:rFonts w:ascii="Verdana" w:hAnsi="Verdana" w:cs="Arial"/>
          <w:color w:val="333333"/>
          <w:sz w:val="20"/>
          <w:szCs w:val="20"/>
        </w:rPr>
        <w:t xml:space="preserve">. </w:t>
      </w:r>
    </w:p>
    <w:p w:rsidR="009753FF" w:rsidRPr="002B1FDD" w:rsidRDefault="009753FF" w:rsidP="000A4229">
      <w:pPr>
        <w:pStyle w:val="NormalWeb"/>
        <w:numPr>
          <w:ilvl w:val="0"/>
          <w:numId w:val="12"/>
        </w:numPr>
        <w:spacing w:after="200" w:afterAutospacing="0"/>
        <w:jc w:val="both"/>
        <w:rPr>
          <w:rFonts w:ascii="Verdana" w:hAnsi="Verdana" w:cs="Arial"/>
          <w:color w:val="333333"/>
          <w:sz w:val="20"/>
          <w:szCs w:val="20"/>
        </w:rPr>
      </w:pPr>
      <w:r>
        <w:rPr>
          <w:rFonts w:ascii="Verdana" w:hAnsi="Verdana" w:cs="Arial"/>
          <w:color w:val="333333"/>
          <w:sz w:val="20"/>
          <w:szCs w:val="20"/>
        </w:rPr>
        <w:t xml:space="preserve">The University’s Executive is responsible for reviewing the risk within the business and has overall responsibility for ensuring that procedures are in place to maintain effective management of risk. </w:t>
      </w:r>
    </w:p>
    <w:p w:rsidR="002B1FDD" w:rsidRP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 xml:space="preserve">It is the responsibility of University management to implement AU policies and procedures and to identify and manage risks as a management activity. </w:t>
      </w:r>
    </w:p>
    <w:p w:rsidR="002B1FDD" w:rsidRP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 xml:space="preserve">In order to be effective, risk management has to be tangible, be able to be audited, and explicitly incorporated into all major processes, with regular reporting to appropriate management and governance bodies on its operation. </w:t>
      </w:r>
    </w:p>
    <w:p w:rsidR="002B3D07" w:rsidRPr="002B1FDD" w:rsidRDefault="002B3D07" w:rsidP="002B3D07">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 xml:space="preserve">The University seeks to enhance the security and safety of staff and students for the management of physical risks. </w:t>
      </w:r>
    </w:p>
    <w:p w:rsidR="002B1FDD" w:rsidRP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 xml:space="preserve">The University seeks through its risk management policy to secure financial benefits, e.g. in </w:t>
      </w:r>
      <w:r w:rsidR="00550E15">
        <w:rPr>
          <w:rFonts w:ascii="Verdana" w:hAnsi="Verdana" w:cs="Arial"/>
          <w:color w:val="333333"/>
          <w:sz w:val="20"/>
          <w:szCs w:val="20"/>
        </w:rPr>
        <w:t xml:space="preserve">through savings in </w:t>
      </w:r>
      <w:r w:rsidRPr="002B1FDD">
        <w:rPr>
          <w:rFonts w:ascii="Verdana" w:hAnsi="Verdana" w:cs="Arial"/>
          <w:color w:val="333333"/>
          <w:sz w:val="20"/>
          <w:szCs w:val="20"/>
        </w:rPr>
        <w:t xml:space="preserve">staff time, legal fees, insurance payments, bad debt reduction, etc through the early recognition and management of risk. </w:t>
      </w:r>
    </w:p>
    <w:p w:rsidR="002B1FDD" w:rsidRPr="002B1FDD" w:rsidRDefault="002B1FDD" w:rsidP="000A4229">
      <w:pPr>
        <w:pStyle w:val="NormalWeb"/>
        <w:numPr>
          <w:ilvl w:val="0"/>
          <w:numId w:val="12"/>
        </w:numPr>
        <w:spacing w:after="200" w:afterAutospacing="0"/>
        <w:jc w:val="both"/>
        <w:rPr>
          <w:rFonts w:ascii="Verdana" w:hAnsi="Verdana" w:cs="Arial"/>
          <w:color w:val="333333"/>
          <w:sz w:val="20"/>
          <w:szCs w:val="20"/>
        </w:rPr>
      </w:pPr>
      <w:r w:rsidRPr="002B1FDD">
        <w:rPr>
          <w:rFonts w:ascii="Verdana" w:hAnsi="Verdana" w:cs="Arial"/>
          <w:color w:val="333333"/>
          <w:sz w:val="20"/>
          <w:szCs w:val="20"/>
        </w:rPr>
        <w:t>Risk management must be embedded throughout the University.  It is not the sole responsibility of senior managers but should be exercised by all staff, particularly those with management or operational responsibilities. The means of achieving this may vary according to the needs of different parts of the University, but include formal annual confirmation of compliance to the Vice-Chancellor as a minimum.</w:t>
      </w:r>
    </w:p>
    <w:p w:rsidR="002B1FDD" w:rsidRPr="002B1FDD" w:rsidRDefault="002B1FDD" w:rsidP="002B1FDD">
      <w:pPr>
        <w:pStyle w:val="NormalWeb"/>
        <w:ind w:left="720"/>
        <w:rPr>
          <w:rFonts w:ascii="Verdana" w:hAnsi="Verdana" w:cs="Arial"/>
          <w:color w:val="333333"/>
          <w:sz w:val="20"/>
          <w:szCs w:val="20"/>
        </w:rPr>
      </w:pPr>
    </w:p>
    <w:p w:rsidR="002B1FDD" w:rsidRPr="002B1FDD" w:rsidRDefault="002B1FDD" w:rsidP="00CE2E56">
      <w:pPr>
        <w:pStyle w:val="NormalWeb"/>
        <w:tabs>
          <w:tab w:val="left" w:pos="0"/>
        </w:tabs>
        <w:rPr>
          <w:rFonts w:ascii="Verdana" w:hAnsi="Verdana" w:cs="Calibri"/>
          <w:b/>
          <w:color w:val="333333"/>
          <w:sz w:val="20"/>
          <w:szCs w:val="20"/>
          <w:u w:val="single"/>
        </w:rPr>
      </w:pPr>
      <w:r w:rsidRPr="002B1FDD">
        <w:rPr>
          <w:rFonts w:ascii="Verdana" w:hAnsi="Verdana" w:cs="Calibri"/>
          <w:color w:val="333333"/>
          <w:sz w:val="20"/>
          <w:szCs w:val="20"/>
        </w:rPr>
        <w:br w:type="page"/>
      </w:r>
      <w:r w:rsidR="00CE2E56" w:rsidRPr="002B1FDD" w:rsidDel="00CE2E56">
        <w:rPr>
          <w:rFonts w:ascii="Verdana" w:hAnsi="Verdana" w:cs="Arial"/>
          <w:b/>
          <w:color w:val="333333"/>
          <w:sz w:val="20"/>
          <w:szCs w:val="20"/>
        </w:rPr>
        <w:lastRenderedPageBreak/>
        <w:t xml:space="preserve"> </w:t>
      </w:r>
    </w:p>
    <w:p w:rsidR="002B1FDD" w:rsidRPr="002B1FDD" w:rsidRDefault="002B1FDD" w:rsidP="002B1FDD">
      <w:pPr>
        <w:rPr>
          <w:rFonts w:ascii="Verdana" w:hAnsi="Verdana" w:cs="Calibri"/>
          <w:sz w:val="20"/>
          <w:szCs w:val="20"/>
        </w:rPr>
      </w:pPr>
    </w:p>
    <w:p w:rsidR="009E7371" w:rsidRPr="002B1FDD" w:rsidRDefault="009E7371"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pPr>
    </w:p>
    <w:p w:rsidR="002B1FDD" w:rsidRPr="002B1FDD" w:rsidRDefault="002B1FDD" w:rsidP="009E7371">
      <w:pPr>
        <w:autoSpaceDE w:val="0"/>
        <w:autoSpaceDN w:val="0"/>
        <w:adjustRightInd w:val="0"/>
        <w:spacing w:after="40" w:line="240" w:lineRule="auto"/>
        <w:ind w:left="357"/>
        <w:rPr>
          <w:rFonts w:ascii="Verdana" w:hAnsi="Verdana"/>
          <w:color w:val="000000"/>
          <w:sz w:val="20"/>
          <w:szCs w:val="20"/>
          <w:lang w:eastAsia="en-GB"/>
        </w:rPr>
        <w:sectPr w:rsidR="002B1FDD" w:rsidRPr="002B1FDD" w:rsidSect="0003169E">
          <w:headerReference w:type="default" r:id="rId13"/>
          <w:footerReference w:type="default" r:id="rId14"/>
          <w:pgSz w:w="11906" w:h="16838"/>
          <w:pgMar w:top="1105" w:right="707" w:bottom="709" w:left="993" w:header="284" w:footer="149" w:gutter="0"/>
          <w:pgNumType w:start="1"/>
          <w:cols w:space="708"/>
          <w:docGrid w:linePitch="360"/>
        </w:sectPr>
      </w:pPr>
    </w:p>
    <w:p w:rsidR="000A4229" w:rsidRDefault="00820C22" w:rsidP="002B1FDD">
      <w:pPr>
        <w:pStyle w:val="ColorfulList-Accent11"/>
        <w:spacing w:before="120" w:after="120"/>
        <w:ind w:left="0"/>
        <w:rPr>
          <w:rFonts w:cs="Calibri"/>
          <w:sz w:val="32"/>
          <w:szCs w:val="32"/>
        </w:rPr>
      </w:pPr>
      <w:r>
        <w:rPr>
          <w:rFonts w:cs="Calibri"/>
          <w:b/>
          <w:noProof/>
          <w:sz w:val="32"/>
          <w:szCs w:val="32"/>
          <w:lang w:eastAsia="en-GB"/>
        </w:rPr>
        <w:lastRenderedPageBreak/>
        <mc:AlternateContent>
          <mc:Choice Requires="wps">
            <w:drawing>
              <wp:anchor distT="0" distB="0" distL="114300" distR="114300" simplePos="0" relativeHeight="251658752" behindDoc="0" locked="0" layoutInCell="1" allowOverlap="1">
                <wp:simplePos x="0" y="0"/>
                <wp:positionH relativeFrom="column">
                  <wp:posOffset>6953250</wp:posOffset>
                </wp:positionH>
                <wp:positionV relativeFrom="paragraph">
                  <wp:posOffset>-190500</wp:posOffset>
                </wp:positionV>
                <wp:extent cx="2908300" cy="8026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830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21B" w:rsidRDefault="00CE521B">
                            <w:r>
                              <w:rPr>
                                <w:noProof/>
                              </w:rPr>
                              <w:drawing>
                                <wp:inline distT="0" distB="0" distL="0" distR="0">
                                  <wp:extent cx="2722880" cy="558800"/>
                                  <wp:effectExtent l="0" t="0" r="0" b="0"/>
                                  <wp:docPr id="2" name="Picture 2" descr="aber-uni-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ber-uni-logo"/>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2880" cy="558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47.5pt;margin-top:-15pt;width:229pt;height:63.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" stroked="f">
                <v:path arrowok="t"/>
                <v:textbox style="mso-fit-shape-to-text:t">
                  <w:txbxContent>
                    <w:p w:rsidR="00CE521B" w:rsidRDefault="00CE521B">
                      <w:r>
                        <w:rPr>
                          <w:noProof/>
                        </w:rPr>
                        <w:drawing>
                          <wp:inline distT="0" distB="0" distL="0" distR="0">
                            <wp:extent cx="2722880" cy="558800"/>
                            <wp:effectExtent l="0" t="0" r="0" b="0"/>
                            <wp:docPr id="2" name="Picture 2" descr="aber-uni-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ber-uni-logo"/>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2880" cy="558800"/>
                                    </a:xfrm>
                                    <a:prstGeom prst="rect">
                                      <a:avLst/>
                                    </a:prstGeom>
                                    <a:noFill/>
                                    <a:ln>
                                      <a:noFill/>
                                    </a:ln>
                                  </pic:spPr>
                                </pic:pic>
                              </a:graphicData>
                            </a:graphic>
                          </wp:inline>
                        </w:drawing>
                      </w:r>
                    </w:p>
                  </w:txbxContent>
                </v:textbox>
              </v:shape>
            </w:pict>
          </mc:Fallback>
        </mc:AlternateContent>
      </w:r>
      <w:r w:rsidR="002B1FDD" w:rsidRPr="00FB3892">
        <w:rPr>
          <w:rFonts w:cs="Calibri"/>
          <w:b/>
          <w:sz w:val="32"/>
          <w:szCs w:val="32"/>
        </w:rPr>
        <w:t xml:space="preserve">Appendix </w:t>
      </w:r>
      <w:r w:rsidR="00CE2E56">
        <w:rPr>
          <w:rFonts w:cs="Calibri"/>
          <w:b/>
          <w:sz w:val="32"/>
          <w:szCs w:val="32"/>
        </w:rPr>
        <w:t>B</w:t>
      </w:r>
    </w:p>
    <w:p w:rsidR="00CE521B" w:rsidRDefault="00CE521B" w:rsidP="00CE521B">
      <w:p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 xml:space="preserve">This may be of use when designing a new risk register prior to entering it onto the online system. Additionally, there are some risk registers which it may be more practical to keep at local level (e.g. for small, low level and temporary projects and tasks as opposed to department level registers and University Major Projects). </w:t>
      </w:r>
      <w:r w:rsidRPr="00DD7849">
        <w:rPr>
          <w:rFonts w:ascii="Verdana" w:hAnsi="Verdana" w:cs="Verdana"/>
          <w:color w:val="000000"/>
          <w:sz w:val="20"/>
          <w:szCs w:val="20"/>
          <w:lang w:val="en-US"/>
        </w:rPr>
        <w:t xml:space="preserve">Only practical, relevant and meaningful information should ideally be included in the Register. </w:t>
      </w:r>
    </w:p>
    <w:p w:rsidR="002B1FDD" w:rsidRPr="00FB3892" w:rsidRDefault="000A4229" w:rsidP="002B1FDD">
      <w:pPr>
        <w:pStyle w:val="ColorfulList-Accent11"/>
        <w:spacing w:before="120" w:after="120"/>
        <w:ind w:left="0"/>
        <w:rPr>
          <w:rFonts w:cs="Calibri"/>
          <w:b/>
          <w:sz w:val="28"/>
          <w:szCs w:val="28"/>
        </w:rPr>
      </w:pPr>
      <w:r>
        <w:rPr>
          <w:rFonts w:cs="Calibri"/>
          <w:sz w:val="28"/>
          <w:szCs w:val="28"/>
        </w:rPr>
        <w:t>Risk Register T</w:t>
      </w:r>
      <w:r w:rsidR="002B1FDD" w:rsidRPr="00FB3892">
        <w:rPr>
          <w:rFonts w:cs="Calibri"/>
          <w:sz w:val="28"/>
          <w:szCs w:val="28"/>
        </w:rPr>
        <w:t>emplate</w:t>
      </w:r>
      <w:r w:rsidR="002B1FDD">
        <w:rPr>
          <w:rFonts w:cs="Calibri"/>
          <w:sz w:val="28"/>
          <w:szCs w:val="28"/>
        </w:rPr>
        <w:t xml:space="preserve"> (at Corporate and </w:t>
      </w:r>
      <w:r w:rsidR="00CE521B">
        <w:rPr>
          <w:rFonts w:cs="Calibri"/>
          <w:sz w:val="28"/>
          <w:szCs w:val="28"/>
        </w:rPr>
        <w:t>Departmental</w:t>
      </w:r>
      <w:r w:rsidR="00984C68">
        <w:rPr>
          <w:rFonts w:cs="Calibri"/>
          <w:sz w:val="28"/>
          <w:szCs w:val="28"/>
        </w:rPr>
        <w:t xml:space="preserve"> </w:t>
      </w:r>
      <w:r>
        <w:rPr>
          <w:rFonts w:cs="Calibri"/>
          <w:sz w:val="28"/>
          <w:szCs w:val="28"/>
        </w:rPr>
        <w:t>level)</w:t>
      </w:r>
    </w:p>
    <w:p w:rsidR="002B1FDD" w:rsidRPr="00FB3892" w:rsidRDefault="002B1FDD" w:rsidP="002B1FDD">
      <w:pPr>
        <w:pStyle w:val="ColorfulList-Accent11"/>
        <w:spacing w:before="120" w:after="120"/>
        <w:ind w:left="0"/>
        <w:rPr>
          <w:rFonts w:cs="Calibri"/>
          <w:b/>
          <w:sz w:val="32"/>
          <w:szCs w:val="32"/>
        </w:rPr>
      </w:pPr>
    </w:p>
    <w:tbl>
      <w:tblPr>
        <w:tblW w:w="28653" w:type="dxa"/>
        <w:tblInd w:w="108" w:type="dxa"/>
        <w:tblLayout w:type="fixed"/>
        <w:tblLook w:val="04A0" w:firstRow="1" w:lastRow="0" w:firstColumn="1" w:lastColumn="0" w:noHBand="0" w:noVBand="1"/>
      </w:tblPr>
      <w:tblGrid>
        <w:gridCol w:w="236"/>
        <w:gridCol w:w="14647"/>
        <w:gridCol w:w="967"/>
        <w:gridCol w:w="1395"/>
        <w:gridCol w:w="851"/>
        <w:gridCol w:w="679"/>
        <w:gridCol w:w="686"/>
        <w:gridCol w:w="686"/>
        <w:gridCol w:w="1677"/>
        <w:gridCol w:w="1225"/>
        <w:gridCol w:w="732"/>
        <w:gridCol w:w="679"/>
        <w:gridCol w:w="599"/>
        <w:gridCol w:w="656"/>
        <w:gridCol w:w="686"/>
        <w:gridCol w:w="957"/>
        <w:gridCol w:w="673"/>
        <w:gridCol w:w="622"/>
      </w:tblGrid>
      <w:tr w:rsidR="002B1FDD" w:rsidRPr="005F5B54" w:rsidTr="00DF0666">
        <w:trPr>
          <w:trHeight w:val="300"/>
        </w:trPr>
        <w:tc>
          <w:tcPr>
            <w:tcW w:w="23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lang w:eastAsia="en-GB"/>
              </w:rPr>
            </w:pPr>
          </w:p>
        </w:tc>
        <w:tc>
          <w:tcPr>
            <w:tcW w:w="14647" w:type="dxa"/>
            <w:tcBorders>
              <w:top w:val="nil"/>
              <w:left w:val="nil"/>
              <w:bottom w:val="nil"/>
              <w:right w:val="nil"/>
            </w:tcBorders>
            <w:shd w:val="clear" w:color="auto" w:fill="auto"/>
            <w:noWrap/>
            <w:vAlign w:val="bottom"/>
            <w:hideMark/>
          </w:tcPr>
          <w:p w:rsidR="002B1FDD" w:rsidRPr="005F5B54" w:rsidRDefault="00D2491D" w:rsidP="00952AB4">
            <w:pPr>
              <w:spacing w:after="0" w:line="240" w:lineRule="auto"/>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 xml:space="preserve">Department </w:t>
            </w:r>
            <w:r w:rsidR="002B1FDD" w:rsidRPr="005F5B54">
              <w:rPr>
                <w:rFonts w:ascii="Arial" w:eastAsia="Times New Roman" w:hAnsi="Arial" w:cs="Arial"/>
                <w:b/>
                <w:bCs/>
                <w:color w:val="000000"/>
                <w:sz w:val="16"/>
                <w:szCs w:val="16"/>
                <w:lang w:eastAsia="en-GB"/>
              </w:rPr>
              <w:t>Name:</w:t>
            </w:r>
          </w:p>
        </w:tc>
        <w:tc>
          <w:tcPr>
            <w:tcW w:w="96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b/>
                <w:bCs/>
                <w:color w:val="000000"/>
                <w:sz w:val="16"/>
                <w:szCs w:val="16"/>
                <w:lang w:eastAsia="en-GB"/>
              </w:rPr>
            </w:pPr>
          </w:p>
        </w:tc>
        <w:tc>
          <w:tcPr>
            <w:tcW w:w="1395"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851"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7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167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1225"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732"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7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59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5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b/>
                <w:bCs/>
                <w:color w:val="000000"/>
                <w:sz w:val="16"/>
                <w:szCs w:val="16"/>
                <w:lang w:eastAsia="en-GB"/>
              </w:rPr>
            </w:pPr>
          </w:p>
        </w:tc>
        <w:tc>
          <w:tcPr>
            <w:tcW w:w="95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color w:val="000000"/>
                <w:sz w:val="16"/>
                <w:szCs w:val="16"/>
                <w:lang w:eastAsia="en-GB"/>
              </w:rPr>
            </w:pPr>
          </w:p>
        </w:tc>
        <w:tc>
          <w:tcPr>
            <w:tcW w:w="673"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sz w:val="16"/>
                <w:szCs w:val="16"/>
                <w:lang w:eastAsia="en-GB"/>
              </w:rPr>
            </w:pPr>
          </w:p>
        </w:tc>
        <w:tc>
          <w:tcPr>
            <w:tcW w:w="622"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sz w:val="16"/>
                <w:szCs w:val="16"/>
                <w:lang w:eastAsia="en-GB"/>
              </w:rPr>
            </w:pPr>
          </w:p>
        </w:tc>
      </w:tr>
      <w:tr w:rsidR="002B1FDD" w:rsidRPr="005F5B54" w:rsidTr="00DF0666">
        <w:trPr>
          <w:trHeight w:val="300"/>
        </w:trPr>
        <w:tc>
          <w:tcPr>
            <w:tcW w:w="23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lang w:eastAsia="en-GB"/>
              </w:rPr>
            </w:pPr>
          </w:p>
        </w:tc>
        <w:tc>
          <w:tcPr>
            <w:tcW w:w="1464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b/>
                <w:bCs/>
                <w:color w:val="000000"/>
                <w:sz w:val="16"/>
                <w:szCs w:val="16"/>
                <w:lang w:eastAsia="en-GB"/>
              </w:rPr>
            </w:pPr>
          </w:p>
        </w:tc>
        <w:tc>
          <w:tcPr>
            <w:tcW w:w="1395"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851"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7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167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1225"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732"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7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59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5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b/>
                <w:bCs/>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b/>
                <w:bCs/>
                <w:color w:val="000000"/>
                <w:sz w:val="16"/>
                <w:szCs w:val="16"/>
                <w:lang w:eastAsia="en-GB"/>
              </w:rPr>
            </w:pPr>
          </w:p>
        </w:tc>
        <w:tc>
          <w:tcPr>
            <w:tcW w:w="95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color w:val="000000"/>
                <w:sz w:val="16"/>
                <w:szCs w:val="16"/>
                <w:lang w:eastAsia="en-GB"/>
              </w:rPr>
            </w:pPr>
          </w:p>
        </w:tc>
        <w:tc>
          <w:tcPr>
            <w:tcW w:w="673"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sz w:val="16"/>
                <w:szCs w:val="16"/>
                <w:lang w:eastAsia="en-GB"/>
              </w:rPr>
            </w:pPr>
          </w:p>
        </w:tc>
        <w:tc>
          <w:tcPr>
            <w:tcW w:w="622"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sz w:val="16"/>
                <w:szCs w:val="16"/>
                <w:lang w:eastAsia="en-GB"/>
              </w:rPr>
            </w:pPr>
          </w:p>
        </w:tc>
      </w:tr>
      <w:tr w:rsidR="002B1FDD" w:rsidRPr="005F5B54" w:rsidTr="00DF0666">
        <w:trPr>
          <w:trHeight w:val="300"/>
        </w:trPr>
        <w:tc>
          <w:tcPr>
            <w:tcW w:w="23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lang w:eastAsia="en-GB"/>
              </w:rPr>
            </w:pPr>
          </w:p>
        </w:tc>
        <w:tc>
          <w:tcPr>
            <w:tcW w:w="14647" w:type="dxa"/>
            <w:tcBorders>
              <w:top w:val="nil"/>
              <w:left w:val="nil"/>
              <w:bottom w:val="nil"/>
              <w:right w:val="nil"/>
            </w:tcBorders>
            <w:shd w:val="clear" w:color="auto" w:fill="auto"/>
            <w:noWrap/>
            <w:vAlign w:val="bottom"/>
            <w:hideMark/>
          </w:tcPr>
          <w:p w:rsidR="002B1FDD" w:rsidRDefault="002B1FDD" w:rsidP="00952AB4">
            <w:pPr>
              <w:spacing w:after="0" w:line="240" w:lineRule="auto"/>
              <w:rPr>
                <w:rFonts w:ascii="Arial" w:eastAsia="Times New Roman" w:hAnsi="Arial" w:cs="Arial"/>
                <w:i/>
                <w:iCs/>
                <w:color w:val="000000"/>
                <w:sz w:val="16"/>
                <w:szCs w:val="16"/>
                <w:lang w:eastAsia="en-GB"/>
              </w:rPr>
            </w:pPr>
          </w:p>
          <w:tbl>
            <w:tblPr>
              <w:tblStyle w:val="TableGrid"/>
              <w:tblW w:w="0" w:type="auto"/>
              <w:tblLayout w:type="fixed"/>
              <w:tblLook w:val="04A0" w:firstRow="1" w:lastRow="0" w:firstColumn="1" w:lastColumn="0" w:noHBand="0" w:noVBand="1"/>
            </w:tblPr>
            <w:tblGrid>
              <w:gridCol w:w="469"/>
              <w:gridCol w:w="549"/>
              <w:gridCol w:w="1285"/>
              <w:gridCol w:w="690"/>
              <w:gridCol w:w="655"/>
              <w:gridCol w:w="725"/>
              <w:gridCol w:w="952"/>
              <w:gridCol w:w="672"/>
              <w:gridCol w:w="655"/>
              <w:gridCol w:w="864"/>
              <w:gridCol w:w="997"/>
              <w:gridCol w:w="725"/>
              <w:gridCol w:w="952"/>
              <w:gridCol w:w="549"/>
              <w:gridCol w:w="558"/>
              <w:gridCol w:w="681"/>
              <w:gridCol w:w="768"/>
              <w:gridCol w:w="558"/>
              <w:gridCol w:w="646"/>
            </w:tblGrid>
            <w:tr w:rsidR="006343C5" w:rsidRPr="00324B67" w:rsidTr="00D2491D">
              <w:tc>
                <w:tcPr>
                  <w:tcW w:w="469" w:type="dxa"/>
                  <w:shd w:val="clear" w:color="auto" w:fill="D0CECE" w:themeFill="background2" w:themeFillShade="E6"/>
                </w:tcPr>
                <w:p w:rsidR="00E5756C" w:rsidRPr="00324B67" w:rsidRDefault="00E5756C" w:rsidP="00E5756C">
                  <w:pPr>
                    <w:rPr>
                      <w:rFonts w:ascii="Arial" w:hAnsi="Arial" w:cs="Arial"/>
                      <w:b/>
                      <w:sz w:val="16"/>
                      <w:szCs w:val="16"/>
                    </w:rPr>
                  </w:pPr>
                  <w:r w:rsidRPr="00324B67">
                    <w:rPr>
                      <w:rFonts w:ascii="Arial" w:hAnsi="Arial" w:cs="Arial"/>
                      <w:b/>
                      <w:sz w:val="16"/>
                      <w:szCs w:val="16"/>
                    </w:rPr>
                    <w:t>Ref</w:t>
                  </w:r>
                </w:p>
              </w:tc>
              <w:tc>
                <w:tcPr>
                  <w:tcW w:w="549" w:type="dxa"/>
                  <w:shd w:val="clear" w:color="auto" w:fill="D0CECE" w:themeFill="background2" w:themeFillShade="E6"/>
                </w:tcPr>
                <w:p w:rsidR="00E5756C" w:rsidRPr="00324B67" w:rsidRDefault="00E5756C" w:rsidP="00E5756C">
                  <w:pPr>
                    <w:rPr>
                      <w:rFonts w:ascii="Arial" w:hAnsi="Arial" w:cs="Arial"/>
                      <w:b/>
                      <w:sz w:val="16"/>
                      <w:szCs w:val="16"/>
                    </w:rPr>
                  </w:pPr>
                  <w:r w:rsidRPr="00324B67">
                    <w:rPr>
                      <w:rFonts w:ascii="Arial" w:hAnsi="Arial" w:cs="Arial"/>
                      <w:b/>
                      <w:sz w:val="16"/>
                      <w:szCs w:val="16"/>
                    </w:rPr>
                    <w:t>Risk</w:t>
                  </w:r>
                </w:p>
              </w:tc>
              <w:tc>
                <w:tcPr>
                  <w:tcW w:w="1285" w:type="dxa"/>
                  <w:shd w:val="clear" w:color="auto" w:fill="D0CECE" w:themeFill="background2" w:themeFillShade="E6"/>
                </w:tcPr>
                <w:p w:rsidR="00E5756C" w:rsidRPr="00324B67" w:rsidRDefault="00E5756C" w:rsidP="00E5756C">
                  <w:pPr>
                    <w:rPr>
                      <w:rFonts w:ascii="Arial" w:hAnsi="Arial" w:cs="Arial"/>
                      <w:b/>
                      <w:sz w:val="16"/>
                      <w:szCs w:val="16"/>
                    </w:rPr>
                  </w:pPr>
                  <w:r w:rsidRPr="00324B67">
                    <w:rPr>
                      <w:rFonts w:ascii="Arial" w:hAnsi="Arial" w:cs="Arial"/>
                      <w:b/>
                      <w:sz w:val="16"/>
                      <w:szCs w:val="16"/>
                    </w:rPr>
                    <w:t xml:space="preserve">Risk appetite </w:t>
                  </w:r>
                </w:p>
                <w:p w:rsidR="00E5756C" w:rsidRPr="00324B67" w:rsidRDefault="00E5756C" w:rsidP="00E5756C">
                  <w:pPr>
                    <w:rPr>
                      <w:rFonts w:ascii="Arial" w:hAnsi="Arial" w:cs="Arial"/>
                      <w:b/>
                      <w:sz w:val="16"/>
                      <w:szCs w:val="16"/>
                    </w:rPr>
                  </w:pPr>
                  <w:r w:rsidRPr="00324B67">
                    <w:rPr>
                      <w:rFonts w:ascii="Arial" w:hAnsi="Arial" w:cs="Arial"/>
                      <w:b/>
                      <w:sz w:val="16"/>
                      <w:szCs w:val="16"/>
                    </w:rPr>
                    <w:t>High/Med/Low</w:t>
                  </w:r>
                </w:p>
              </w:tc>
              <w:tc>
                <w:tcPr>
                  <w:tcW w:w="690" w:type="dxa"/>
                  <w:shd w:val="clear" w:color="auto" w:fill="D0CECE" w:themeFill="background2" w:themeFillShade="E6"/>
                </w:tcPr>
                <w:p w:rsidR="00E5756C" w:rsidRPr="00324B67" w:rsidRDefault="00E5756C" w:rsidP="00E5756C">
                  <w:pPr>
                    <w:rPr>
                      <w:rFonts w:ascii="Arial" w:hAnsi="Arial" w:cs="Arial"/>
                      <w:b/>
                      <w:sz w:val="16"/>
                      <w:szCs w:val="16"/>
                    </w:rPr>
                  </w:pPr>
                  <w:r w:rsidRPr="00324B67">
                    <w:rPr>
                      <w:rFonts w:ascii="Arial" w:hAnsi="Arial" w:cs="Arial"/>
                      <w:b/>
                      <w:sz w:val="16"/>
                      <w:szCs w:val="16"/>
                    </w:rPr>
                    <w:t>Cause</w:t>
                  </w:r>
                </w:p>
              </w:tc>
              <w:tc>
                <w:tcPr>
                  <w:tcW w:w="655" w:type="dxa"/>
                  <w:shd w:val="clear" w:color="auto" w:fill="D0CECE" w:themeFill="background2" w:themeFillShade="E6"/>
                </w:tcPr>
                <w:p w:rsidR="00E5756C" w:rsidRPr="00324B67" w:rsidRDefault="00E5756C" w:rsidP="00E5756C">
                  <w:pPr>
                    <w:rPr>
                      <w:rFonts w:ascii="Arial" w:hAnsi="Arial" w:cs="Arial"/>
                      <w:b/>
                      <w:sz w:val="16"/>
                      <w:szCs w:val="16"/>
                    </w:rPr>
                  </w:pPr>
                  <w:r w:rsidRPr="00324B67">
                    <w:rPr>
                      <w:rFonts w:ascii="Arial" w:hAnsi="Arial" w:cs="Arial"/>
                      <w:b/>
                      <w:sz w:val="16"/>
                      <w:szCs w:val="16"/>
                    </w:rPr>
                    <w:t>Effect</w:t>
                  </w:r>
                </w:p>
              </w:tc>
              <w:tc>
                <w:tcPr>
                  <w:tcW w:w="725" w:type="dxa"/>
                  <w:shd w:val="clear" w:color="auto" w:fill="D0CECE" w:themeFill="background2" w:themeFillShade="E6"/>
                </w:tcPr>
                <w:p w:rsidR="00E5756C" w:rsidRPr="00324B67" w:rsidRDefault="00E5756C" w:rsidP="00E5756C">
                  <w:pPr>
                    <w:rPr>
                      <w:rFonts w:ascii="Arial" w:hAnsi="Arial" w:cs="Arial"/>
                      <w:b/>
                      <w:sz w:val="16"/>
                      <w:szCs w:val="16"/>
                    </w:rPr>
                  </w:pPr>
                  <w:r w:rsidRPr="00324B67">
                    <w:rPr>
                      <w:rFonts w:ascii="Arial" w:hAnsi="Arial" w:cs="Arial"/>
                      <w:b/>
                      <w:sz w:val="16"/>
                      <w:szCs w:val="16"/>
                    </w:rPr>
                    <w:t>Gross risk impact (1-5)</w:t>
                  </w:r>
                </w:p>
              </w:tc>
              <w:tc>
                <w:tcPr>
                  <w:tcW w:w="952" w:type="dxa"/>
                  <w:shd w:val="clear" w:color="auto" w:fill="D0CECE" w:themeFill="background2" w:themeFillShade="E6"/>
                </w:tcPr>
                <w:p w:rsidR="00E5756C" w:rsidRPr="00324B67" w:rsidRDefault="00E5756C" w:rsidP="00E5756C">
                  <w:pPr>
                    <w:rPr>
                      <w:rFonts w:ascii="Arial" w:hAnsi="Arial" w:cs="Arial"/>
                      <w:b/>
                      <w:sz w:val="16"/>
                      <w:szCs w:val="16"/>
                    </w:rPr>
                  </w:pPr>
                  <w:r w:rsidRPr="00324B67">
                    <w:rPr>
                      <w:rFonts w:ascii="Arial" w:hAnsi="Arial" w:cs="Arial"/>
                      <w:b/>
                      <w:sz w:val="16"/>
                      <w:szCs w:val="16"/>
                    </w:rPr>
                    <w:t>Gross risk likelihood (1-5)</w:t>
                  </w:r>
                </w:p>
              </w:tc>
              <w:tc>
                <w:tcPr>
                  <w:tcW w:w="672"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Gross risk total</w:t>
                  </w:r>
                </w:p>
              </w:tc>
              <w:tc>
                <w:tcPr>
                  <w:tcW w:w="655"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Risk Trend</w:t>
                  </w:r>
                </w:p>
              </w:tc>
              <w:tc>
                <w:tcPr>
                  <w:tcW w:w="864"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Controls</w:t>
                  </w:r>
                </w:p>
              </w:tc>
              <w:tc>
                <w:tcPr>
                  <w:tcW w:w="997"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Sources of assurance</w:t>
                  </w:r>
                </w:p>
              </w:tc>
              <w:tc>
                <w:tcPr>
                  <w:tcW w:w="725"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Net risk Impact (1-5)</w:t>
                  </w:r>
                </w:p>
              </w:tc>
              <w:tc>
                <w:tcPr>
                  <w:tcW w:w="952"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Net risk likelihood (1-5)</w:t>
                  </w:r>
                </w:p>
              </w:tc>
              <w:tc>
                <w:tcPr>
                  <w:tcW w:w="549"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Net risk total</w:t>
                  </w:r>
                </w:p>
              </w:tc>
              <w:tc>
                <w:tcPr>
                  <w:tcW w:w="558"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Risk rend</w:t>
                  </w:r>
                </w:p>
              </w:tc>
              <w:tc>
                <w:tcPr>
                  <w:tcW w:w="681"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Risk owner</w:t>
                  </w:r>
                </w:p>
              </w:tc>
              <w:tc>
                <w:tcPr>
                  <w:tcW w:w="768"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Further action</w:t>
                  </w:r>
                </w:p>
              </w:tc>
              <w:tc>
                <w:tcPr>
                  <w:tcW w:w="558" w:type="dxa"/>
                  <w:shd w:val="clear" w:color="auto" w:fill="D0CECE" w:themeFill="background2" w:themeFillShade="E6"/>
                </w:tcPr>
                <w:p w:rsidR="00E5756C" w:rsidRPr="00324B67" w:rsidRDefault="00E5756C" w:rsidP="00E5756C">
                  <w:pPr>
                    <w:rPr>
                      <w:rFonts w:ascii="Arial" w:hAnsi="Arial" w:cs="Arial"/>
                      <w:b/>
                      <w:sz w:val="16"/>
                      <w:szCs w:val="16"/>
                    </w:rPr>
                  </w:pPr>
                  <w:r>
                    <w:rPr>
                      <w:rFonts w:ascii="Arial" w:hAnsi="Arial" w:cs="Arial"/>
                      <w:b/>
                      <w:sz w:val="16"/>
                      <w:szCs w:val="16"/>
                    </w:rPr>
                    <w:t>Who</w:t>
                  </w:r>
                </w:p>
              </w:tc>
              <w:tc>
                <w:tcPr>
                  <w:tcW w:w="646" w:type="dxa"/>
                  <w:shd w:val="clear" w:color="auto" w:fill="D0CECE" w:themeFill="background2" w:themeFillShade="E6"/>
                </w:tcPr>
                <w:p w:rsidR="00E5756C" w:rsidRPr="00324B67" w:rsidRDefault="00E5756C" w:rsidP="00E5756C">
                  <w:pPr>
                    <w:tabs>
                      <w:tab w:val="left" w:pos="443"/>
                    </w:tabs>
                    <w:rPr>
                      <w:rFonts w:ascii="Arial" w:hAnsi="Arial" w:cs="Arial"/>
                      <w:b/>
                      <w:sz w:val="16"/>
                      <w:szCs w:val="16"/>
                    </w:rPr>
                  </w:pPr>
                  <w:r>
                    <w:rPr>
                      <w:rFonts w:ascii="Arial" w:hAnsi="Arial" w:cs="Arial"/>
                      <w:b/>
                      <w:sz w:val="16"/>
                      <w:szCs w:val="16"/>
                    </w:rPr>
                    <w:t xml:space="preserve"> By When </w:t>
                  </w: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20"/>
                      <w:szCs w:val="20"/>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r w:rsidR="00E5756C" w:rsidRPr="00324B67" w:rsidTr="00DF0666">
              <w:trPr>
                <w:trHeight w:val="383"/>
              </w:trPr>
              <w:tc>
                <w:tcPr>
                  <w:tcW w:w="469"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1285" w:type="dxa"/>
                </w:tcPr>
                <w:p w:rsidR="00E5756C" w:rsidRPr="00324B67" w:rsidRDefault="00E5756C" w:rsidP="00E5756C">
                  <w:pPr>
                    <w:rPr>
                      <w:rFonts w:ascii="Arial" w:hAnsi="Arial" w:cs="Arial"/>
                      <w:sz w:val="16"/>
                      <w:szCs w:val="16"/>
                    </w:rPr>
                  </w:pPr>
                </w:p>
              </w:tc>
              <w:tc>
                <w:tcPr>
                  <w:tcW w:w="690"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672" w:type="dxa"/>
                </w:tcPr>
                <w:p w:rsidR="00E5756C" w:rsidRPr="00324B67" w:rsidRDefault="00E5756C" w:rsidP="00E5756C">
                  <w:pPr>
                    <w:rPr>
                      <w:rFonts w:ascii="Arial" w:hAnsi="Arial" w:cs="Arial"/>
                      <w:sz w:val="16"/>
                      <w:szCs w:val="16"/>
                    </w:rPr>
                  </w:pPr>
                </w:p>
              </w:tc>
              <w:tc>
                <w:tcPr>
                  <w:tcW w:w="655"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864" w:type="dxa"/>
                </w:tcPr>
                <w:p w:rsidR="00E5756C" w:rsidRPr="00324B67" w:rsidRDefault="00E5756C" w:rsidP="00E5756C">
                  <w:pPr>
                    <w:rPr>
                      <w:rFonts w:ascii="Arial" w:hAnsi="Arial" w:cs="Arial"/>
                      <w:sz w:val="16"/>
                      <w:szCs w:val="16"/>
                    </w:rPr>
                  </w:pPr>
                </w:p>
              </w:tc>
              <w:tc>
                <w:tcPr>
                  <w:tcW w:w="997" w:type="dxa"/>
                </w:tcPr>
                <w:p w:rsidR="00E5756C" w:rsidRPr="00324B67" w:rsidRDefault="00E5756C" w:rsidP="00E5756C">
                  <w:pPr>
                    <w:rPr>
                      <w:rFonts w:ascii="Arial" w:hAnsi="Arial" w:cs="Arial"/>
                      <w:sz w:val="16"/>
                      <w:szCs w:val="16"/>
                    </w:rPr>
                  </w:pPr>
                </w:p>
              </w:tc>
              <w:tc>
                <w:tcPr>
                  <w:tcW w:w="725" w:type="dxa"/>
                </w:tcPr>
                <w:p w:rsidR="00E5756C" w:rsidRPr="00324B67" w:rsidRDefault="00E5756C" w:rsidP="00E5756C">
                  <w:pPr>
                    <w:rPr>
                      <w:rFonts w:ascii="Arial" w:hAnsi="Arial" w:cs="Arial"/>
                      <w:sz w:val="16"/>
                      <w:szCs w:val="16"/>
                    </w:rPr>
                  </w:pPr>
                </w:p>
              </w:tc>
              <w:tc>
                <w:tcPr>
                  <w:tcW w:w="952" w:type="dxa"/>
                </w:tcPr>
                <w:p w:rsidR="00E5756C" w:rsidRPr="00324B67" w:rsidRDefault="00E5756C" w:rsidP="00E5756C">
                  <w:pPr>
                    <w:rPr>
                      <w:rFonts w:ascii="Arial" w:hAnsi="Arial" w:cs="Arial"/>
                      <w:sz w:val="16"/>
                      <w:szCs w:val="16"/>
                    </w:rPr>
                  </w:pPr>
                </w:p>
              </w:tc>
              <w:tc>
                <w:tcPr>
                  <w:tcW w:w="549"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r w:rsidRPr="00324B67">
                    <w:rPr>
                      <w:rFonts w:eastAsia="Times New Roman" w:cs="Calibri"/>
                      <w:color w:val="000000"/>
                      <w:sz w:val="20"/>
                      <w:szCs w:val="20"/>
                      <w:lang w:eastAsia="en-GB"/>
                    </w:rPr>
                    <w:t>↔</w:t>
                  </w:r>
                </w:p>
              </w:tc>
              <w:tc>
                <w:tcPr>
                  <w:tcW w:w="681" w:type="dxa"/>
                </w:tcPr>
                <w:p w:rsidR="00E5756C" w:rsidRPr="00324B67" w:rsidRDefault="00E5756C" w:rsidP="00E5756C">
                  <w:pPr>
                    <w:rPr>
                      <w:rFonts w:ascii="Arial" w:hAnsi="Arial" w:cs="Arial"/>
                      <w:sz w:val="16"/>
                      <w:szCs w:val="16"/>
                    </w:rPr>
                  </w:pPr>
                </w:p>
              </w:tc>
              <w:tc>
                <w:tcPr>
                  <w:tcW w:w="768" w:type="dxa"/>
                </w:tcPr>
                <w:p w:rsidR="00E5756C" w:rsidRPr="00324B67" w:rsidRDefault="00E5756C" w:rsidP="00E5756C">
                  <w:pPr>
                    <w:rPr>
                      <w:rFonts w:ascii="Arial" w:hAnsi="Arial" w:cs="Arial"/>
                      <w:sz w:val="16"/>
                      <w:szCs w:val="16"/>
                    </w:rPr>
                  </w:pPr>
                </w:p>
              </w:tc>
              <w:tc>
                <w:tcPr>
                  <w:tcW w:w="558" w:type="dxa"/>
                </w:tcPr>
                <w:p w:rsidR="00E5756C" w:rsidRPr="00324B67" w:rsidRDefault="00E5756C" w:rsidP="00E5756C">
                  <w:pPr>
                    <w:rPr>
                      <w:rFonts w:ascii="Arial" w:hAnsi="Arial" w:cs="Arial"/>
                      <w:sz w:val="16"/>
                      <w:szCs w:val="16"/>
                    </w:rPr>
                  </w:pPr>
                </w:p>
              </w:tc>
              <w:tc>
                <w:tcPr>
                  <w:tcW w:w="646" w:type="dxa"/>
                </w:tcPr>
                <w:p w:rsidR="00E5756C" w:rsidRPr="00324B67" w:rsidRDefault="00E5756C" w:rsidP="00E5756C">
                  <w:pPr>
                    <w:rPr>
                      <w:rFonts w:ascii="Arial" w:hAnsi="Arial" w:cs="Arial"/>
                      <w:sz w:val="16"/>
                      <w:szCs w:val="16"/>
                    </w:rPr>
                  </w:pPr>
                </w:p>
              </w:tc>
            </w:tr>
          </w:tbl>
          <w:p w:rsidR="00E5756C" w:rsidRDefault="00E5756C" w:rsidP="00E5756C"/>
          <w:p w:rsidR="00E5756C" w:rsidRDefault="00E5756C" w:rsidP="00952AB4">
            <w:pPr>
              <w:spacing w:after="0" w:line="240" w:lineRule="auto"/>
              <w:rPr>
                <w:rFonts w:ascii="Arial" w:eastAsia="Times New Roman" w:hAnsi="Arial" w:cs="Arial"/>
                <w:i/>
                <w:iCs/>
                <w:color w:val="000000"/>
                <w:sz w:val="16"/>
                <w:szCs w:val="16"/>
                <w:lang w:eastAsia="en-GB"/>
              </w:rPr>
            </w:pPr>
          </w:p>
          <w:p w:rsidR="00E5756C" w:rsidRPr="005F5B54" w:rsidRDefault="00E5756C" w:rsidP="00952AB4">
            <w:pPr>
              <w:spacing w:after="0" w:line="240" w:lineRule="auto"/>
              <w:rPr>
                <w:rFonts w:ascii="Arial" w:eastAsia="Times New Roman" w:hAnsi="Arial" w:cs="Arial"/>
                <w:i/>
                <w:iCs/>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color w:val="000000"/>
                <w:sz w:val="16"/>
                <w:szCs w:val="16"/>
                <w:lang w:eastAsia="en-GB"/>
              </w:rPr>
            </w:pPr>
          </w:p>
        </w:tc>
        <w:tc>
          <w:tcPr>
            <w:tcW w:w="1395"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i/>
                <w:iCs/>
                <w:color w:val="000000"/>
                <w:sz w:val="16"/>
                <w:szCs w:val="16"/>
                <w:lang w:eastAsia="en-GB"/>
              </w:rPr>
            </w:pPr>
          </w:p>
        </w:tc>
        <w:tc>
          <w:tcPr>
            <w:tcW w:w="851"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i/>
                <w:iCs/>
                <w:color w:val="000000"/>
                <w:sz w:val="16"/>
                <w:szCs w:val="16"/>
                <w:lang w:eastAsia="en-GB"/>
              </w:rPr>
            </w:pPr>
          </w:p>
        </w:tc>
        <w:tc>
          <w:tcPr>
            <w:tcW w:w="67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i/>
                <w:iCs/>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i/>
                <w:iCs/>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i/>
                <w:iCs/>
                <w:color w:val="000000"/>
                <w:sz w:val="16"/>
                <w:szCs w:val="16"/>
                <w:lang w:eastAsia="en-GB"/>
              </w:rPr>
            </w:pPr>
          </w:p>
        </w:tc>
        <w:tc>
          <w:tcPr>
            <w:tcW w:w="167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color w:val="000000"/>
                <w:sz w:val="16"/>
                <w:szCs w:val="16"/>
                <w:lang w:eastAsia="en-GB"/>
              </w:rPr>
            </w:pPr>
          </w:p>
        </w:tc>
        <w:tc>
          <w:tcPr>
            <w:tcW w:w="1225"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color w:val="000000"/>
                <w:sz w:val="16"/>
                <w:szCs w:val="16"/>
                <w:lang w:eastAsia="en-GB"/>
              </w:rPr>
            </w:pPr>
          </w:p>
        </w:tc>
        <w:tc>
          <w:tcPr>
            <w:tcW w:w="732"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color w:val="000000"/>
                <w:sz w:val="16"/>
                <w:szCs w:val="16"/>
                <w:lang w:eastAsia="en-GB"/>
              </w:rPr>
            </w:pPr>
          </w:p>
        </w:tc>
        <w:tc>
          <w:tcPr>
            <w:tcW w:w="67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color w:val="000000"/>
                <w:sz w:val="16"/>
                <w:szCs w:val="16"/>
                <w:lang w:eastAsia="en-GB"/>
              </w:rPr>
            </w:pPr>
          </w:p>
        </w:tc>
        <w:tc>
          <w:tcPr>
            <w:tcW w:w="599"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color w:val="000000"/>
                <w:sz w:val="16"/>
                <w:szCs w:val="16"/>
                <w:lang w:eastAsia="en-GB"/>
              </w:rPr>
            </w:pPr>
          </w:p>
        </w:tc>
        <w:tc>
          <w:tcPr>
            <w:tcW w:w="65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ascii="Arial" w:eastAsia="Times New Roman" w:hAnsi="Arial" w:cs="Arial"/>
                <w:color w:val="000000"/>
                <w:sz w:val="16"/>
                <w:szCs w:val="16"/>
                <w:lang w:eastAsia="en-GB"/>
              </w:rPr>
            </w:pPr>
          </w:p>
        </w:tc>
        <w:tc>
          <w:tcPr>
            <w:tcW w:w="686"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color w:val="000000"/>
                <w:sz w:val="16"/>
                <w:szCs w:val="16"/>
                <w:lang w:eastAsia="en-GB"/>
              </w:rPr>
            </w:pPr>
          </w:p>
        </w:tc>
        <w:tc>
          <w:tcPr>
            <w:tcW w:w="957"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jc w:val="center"/>
              <w:rPr>
                <w:rFonts w:eastAsia="Times New Roman" w:cs="Calibri"/>
                <w:color w:val="000000"/>
                <w:sz w:val="16"/>
                <w:szCs w:val="16"/>
                <w:lang w:eastAsia="en-GB"/>
              </w:rPr>
            </w:pPr>
          </w:p>
        </w:tc>
        <w:tc>
          <w:tcPr>
            <w:tcW w:w="673"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sz w:val="16"/>
                <w:szCs w:val="16"/>
                <w:lang w:eastAsia="en-GB"/>
              </w:rPr>
            </w:pPr>
          </w:p>
        </w:tc>
        <w:tc>
          <w:tcPr>
            <w:tcW w:w="622" w:type="dxa"/>
            <w:tcBorders>
              <w:top w:val="nil"/>
              <w:left w:val="nil"/>
              <w:bottom w:val="nil"/>
              <w:right w:val="nil"/>
            </w:tcBorders>
            <w:shd w:val="clear" w:color="auto" w:fill="auto"/>
            <w:noWrap/>
            <w:vAlign w:val="bottom"/>
            <w:hideMark/>
          </w:tcPr>
          <w:p w:rsidR="002B1FDD" w:rsidRPr="005F5B54" w:rsidRDefault="002B1FDD" w:rsidP="00952AB4">
            <w:pPr>
              <w:spacing w:after="0" w:line="240" w:lineRule="auto"/>
              <w:rPr>
                <w:rFonts w:eastAsia="Times New Roman" w:cs="Calibri"/>
                <w:color w:val="000000"/>
                <w:sz w:val="16"/>
                <w:szCs w:val="16"/>
                <w:lang w:eastAsia="en-GB"/>
              </w:rPr>
            </w:pPr>
          </w:p>
        </w:tc>
      </w:tr>
    </w:tbl>
    <w:p w:rsidR="000A4229" w:rsidRDefault="000A4229" w:rsidP="002B1FDD">
      <w:pPr>
        <w:pStyle w:val="ColorfulList-Accent11"/>
        <w:spacing w:before="120" w:after="120"/>
        <w:ind w:left="0"/>
        <w:rPr>
          <w:rFonts w:cs="Calibri"/>
          <w:b/>
          <w:sz w:val="32"/>
          <w:szCs w:val="32"/>
        </w:rPr>
      </w:pPr>
    </w:p>
    <w:p w:rsidR="002B1FDD" w:rsidRDefault="002B1FDD" w:rsidP="002B1FDD">
      <w:pPr>
        <w:pStyle w:val="ColorfulList-Accent11"/>
        <w:spacing w:before="120" w:after="120"/>
        <w:ind w:left="0"/>
        <w:rPr>
          <w:rFonts w:ascii="Arial" w:hAnsi="Arial" w:cs="Arial"/>
        </w:rPr>
      </w:pPr>
      <w:r w:rsidRPr="00C0266F">
        <w:rPr>
          <w:rFonts w:cs="Calibri"/>
          <w:b/>
          <w:sz w:val="28"/>
          <w:szCs w:val="28"/>
        </w:rPr>
        <w:lastRenderedPageBreak/>
        <w:t xml:space="preserve">Appendix </w:t>
      </w:r>
      <w:r w:rsidR="00CE2E56">
        <w:rPr>
          <w:rFonts w:cs="Calibri"/>
          <w:b/>
          <w:sz w:val="28"/>
          <w:szCs w:val="28"/>
        </w:rPr>
        <w:t>C</w:t>
      </w:r>
      <w:r w:rsidRPr="00CE50A2">
        <w:rPr>
          <w:rFonts w:cs="Calibri"/>
          <w:b/>
          <w:sz w:val="28"/>
          <w:szCs w:val="28"/>
        </w:rPr>
        <w:t xml:space="preserve"> </w:t>
      </w:r>
      <w:r w:rsidRPr="00CE50A2">
        <w:rPr>
          <w:rFonts w:cs="Calibri"/>
          <w:sz w:val="28"/>
          <w:szCs w:val="28"/>
        </w:rPr>
        <w:t>-</w:t>
      </w:r>
      <w:r w:rsidRPr="00FB3892">
        <w:rPr>
          <w:rFonts w:cs="Calibri"/>
          <w:sz w:val="32"/>
          <w:szCs w:val="32"/>
        </w:rPr>
        <w:t xml:space="preserve"> </w:t>
      </w:r>
      <w:r w:rsidRPr="00C0266F">
        <w:rPr>
          <w:rFonts w:ascii="Arial" w:hAnsi="Arial" w:cs="Arial"/>
          <w:sz w:val="20"/>
          <w:szCs w:val="20"/>
        </w:rPr>
        <w:t>Matrix of definitions to assist in assessment of impact and likelihood risk levels</w:t>
      </w:r>
      <w:r>
        <w:rPr>
          <w:rFonts w:ascii="Arial" w:hAnsi="Arial" w:cs="Arial"/>
          <w:sz w:val="20"/>
          <w:szCs w:val="20"/>
        </w:rPr>
        <w:t xml:space="preserve">.  </w:t>
      </w:r>
      <w:r w:rsidRPr="00C0266F">
        <w:rPr>
          <w:rFonts w:ascii="Arial" w:hAnsi="Arial" w:cs="Arial"/>
          <w:sz w:val="20"/>
          <w:szCs w:val="20"/>
        </w:rPr>
        <w:t xml:space="preserve">For </w:t>
      </w:r>
      <w:r w:rsidR="00CE2E56">
        <w:rPr>
          <w:rFonts w:ascii="Arial" w:hAnsi="Arial" w:cs="Arial"/>
          <w:sz w:val="20"/>
          <w:szCs w:val="20"/>
        </w:rPr>
        <w:t>Faculties</w:t>
      </w:r>
      <w:r w:rsidR="00CE2E56" w:rsidRPr="00C0266F">
        <w:rPr>
          <w:rFonts w:ascii="Arial" w:hAnsi="Arial" w:cs="Arial"/>
          <w:sz w:val="20"/>
          <w:szCs w:val="20"/>
        </w:rPr>
        <w:t xml:space="preserve"> </w:t>
      </w:r>
      <w:r w:rsidRPr="00C0266F">
        <w:rPr>
          <w:rFonts w:ascii="Arial" w:hAnsi="Arial" w:cs="Arial"/>
          <w:sz w:val="20"/>
          <w:szCs w:val="20"/>
        </w:rPr>
        <w:t>and Service Departments, the definitions of Insignificant, Minor, Moderate, Serious and Very Serious financial impact at local level are  &lt;£50K, &lt;50K to £100K, &lt;£100K to &lt;500K, and &lt;£500K;  or as per the University level measures if the risk  being assessed is a university wide risk,  for example,  the impact of an incorrect statutory return does not just affect the Planning Department, but is a university wide hit</w:t>
      </w:r>
      <w:r w:rsidRPr="00CE50A2">
        <w:rPr>
          <w:rFonts w:ascii="Arial" w:hAnsi="Arial" w:cs="Arial"/>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670"/>
        <w:gridCol w:w="3260"/>
      </w:tblGrid>
      <w:tr w:rsidR="002B1FDD" w:rsidRPr="004F749C" w:rsidTr="00952AB4">
        <w:trPr>
          <w:trHeight w:hRule="exact" w:val="432"/>
        </w:trPr>
        <w:tc>
          <w:tcPr>
            <w:tcW w:w="3120" w:type="dxa"/>
          </w:tcPr>
          <w:p w:rsidR="002B1FDD" w:rsidRPr="00CE50A2" w:rsidRDefault="002B1FDD" w:rsidP="00952AB4">
            <w:pPr>
              <w:pStyle w:val="BodyText2"/>
              <w:rPr>
                <w:rFonts w:ascii="Arial" w:hAnsi="Arial" w:cs="Arial"/>
                <w:b/>
                <w:sz w:val="18"/>
                <w:szCs w:val="18"/>
              </w:rPr>
            </w:pPr>
            <w:r w:rsidRPr="00CE50A2">
              <w:rPr>
                <w:rFonts w:ascii="Arial" w:hAnsi="Arial" w:cs="Arial"/>
                <w:b/>
                <w:sz w:val="18"/>
                <w:szCs w:val="18"/>
              </w:rPr>
              <w:t>Severity descriptors</w:t>
            </w:r>
          </w:p>
        </w:tc>
        <w:tc>
          <w:tcPr>
            <w:tcW w:w="5670" w:type="dxa"/>
          </w:tcPr>
          <w:p w:rsidR="002B1FDD" w:rsidRPr="00CE50A2" w:rsidRDefault="002B1FDD" w:rsidP="00952AB4">
            <w:pPr>
              <w:pStyle w:val="BodyText2"/>
              <w:rPr>
                <w:rFonts w:ascii="Arial" w:hAnsi="Arial" w:cs="Arial"/>
                <w:b/>
                <w:sz w:val="18"/>
                <w:szCs w:val="18"/>
              </w:rPr>
            </w:pPr>
            <w:r w:rsidRPr="00CE50A2">
              <w:rPr>
                <w:rFonts w:ascii="Arial" w:hAnsi="Arial" w:cs="Arial"/>
                <w:b/>
                <w:sz w:val="18"/>
                <w:szCs w:val="18"/>
              </w:rPr>
              <w:t>Possible consequences</w:t>
            </w:r>
          </w:p>
        </w:tc>
        <w:tc>
          <w:tcPr>
            <w:tcW w:w="3260" w:type="dxa"/>
          </w:tcPr>
          <w:p w:rsidR="002B1FDD" w:rsidRPr="00CE50A2" w:rsidRDefault="002B1FDD" w:rsidP="00952AB4">
            <w:pPr>
              <w:pStyle w:val="BodyText2"/>
              <w:rPr>
                <w:rFonts w:ascii="Arial" w:hAnsi="Arial" w:cs="Arial"/>
                <w:b/>
                <w:sz w:val="18"/>
                <w:szCs w:val="18"/>
              </w:rPr>
            </w:pPr>
            <w:r w:rsidRPr="00CE50A2">
              <w:rPr>
                <w:rFonts w:ascii="Arial" w:hAnsi="Arial" w:cs="Arial"/>
                <w:b/>
                <w:sz w:val="18"/>
                <w:szCs w:val="18"/>
              </w:rPr>
              <w:t>Examples</w:t>
            </w:r>
            <w:r w:rsidRPr="00CE50A2">
              <w:rPr>
                <w:rStyle w:val="FootnoteReference"/>
                <w:rFonts w:ascii="Arial" w:eastAsia="Calibri" w:hAnsi="Arial" w:cs="Arial"/>
                <w:b/>
                <w:sz w:val="18"/>
                <w:szCs w:val="18"/>
              </w:rPr>
              <w:footnoteReference w:id="1"/>
            </w:r>
          </w:p>
        </w:tc>
      </w:tr>
      <w:tr w:rsidR="002B1FDD" w:rsidRPr="004F749C" w:rsidTr="00952AB4">
        <w:trPr>
          <w:trHeight w:hRule="exact" w:val="212"/>
        </w:trPr>
        <w:tc>
          <w:tcPr>
            <w:tcW w:w="3120" w:type="dxa"/>
          </w:tcPr>
          <w:p w:rsidR="002B1FDD" w:rsidRPr="00CE50A2" w:rsidRDefault="002B1FDD" w:rsidP="00952AB4">
            <w:pPr>
              <w:pStyle w:val="BodyText2"/>
              <w:rPr>
                <w:rFonts w:ascii="Arial" w:hAnsi="Arial" w:cs="Arial"/>
                <w:b/>
                <w:sz w:val="18"/>
                <w:szCs w:val="18"/>
              </w:rPr>
            </w:pPr>
            <w:r w:rsidRPr="00CE50A2">
              <w:rPr>
                <w:rFonts w:ascii="Arial" w:hAnsi="Arial" w:cs="Arial"/>
                <w:b/>
                <w:sz w:val="18"/>
                <w:szCs w:val="18"/>
              </w:rPr>
              <w:t>1 - Insignificant</w:t>
            </w:r>
          </w:p>
        </w:tc>
        <w:tc>
          <w:tcPr>
            <w:tcW w:w="5670" w:type="dxa"/>
          </w:tcPr>
          <w:p w:rsidR="002B1FDD" w:rsidRPr="00CE50A2" w:rsidRDefault="002B1FDD" w:rsidP="00952AB4">
            <w:pPr>
              <w:pStyle w:val="BodyText2"/>
              <w:rPr>
                <w:rFonts w:ascii="Arial" w:hAnsi="Arial" w:cs="Arial"/>
                <w:sz w:val="18"/>
                <w:szCs w:val="18"/>
              </w:rPr>
            </w:pPr>
            <w:r w:rsidRPr="00CE50A2">
              <w:rPr>
                <w:rFonts w:ascii="Arial" w:hAnsi="Arial" w:cs="Arial"/>
                <w:sz w:val="18"/>
                <w:szCs w:val="18"/>
              </w:rPr>
              <w:t>No impact</w:t>
            </w:r>
          </w:p>
        </w:tc>
        <w:tc>
          <w:tcPr>
            <w:tcW w:w="3260" w:type="dxa"/>
          </w:tcPr>
          <w:p w:rsidR="002B1FDD" w:rsidRPr="00CE50A2" w:rsidRDefault="002B1FDD" w:rsidP="00952AB4">
            <w:pPr>
              <w:pStyle w:val="BodyText2"/>
              <w:rPr>
                <w:rFonts w:ascii="Arial" w:hAnsi="Arial" w:cs="Arial"/>
                <w:b/>
                <w:sz w:val="18"/>
                <w:szCs w:val="18"/>
              </w:rPr>
            </w:pPr>
          </w:p>
        </w:tc>
      </w:tr>
      <w:tr w:rsidR="002B1FDD" w:rsidRPr="004F749C" w:rsidTr="00952AB4">
        <w:trPr>
          <w:trHeight w:val="1440"/>
        </w:trPr>
        <w:tc>
          <w:tcPr>
            <w:tcW w:w="3120" w:type="dxa"/>
          </w:tcPr>
          <w:p w:rsidR="002B1FDD" w:rsidRPr="00CE50A2" w:rsidRDefault="002B1FDD" w:rsidP="00952AB4">
            <w:pPr>
              <w:pStyle w:val="BodyText2"/>
              <w:rPr>
                <w:rFonts w:ascii="Arial" w:hAnsi="Arial" w:cs="Arial"/>
                <w:b/>
                <w:sz w:val="18"/>
                <w:szCs w:val="18"/>
              </w:rPr>
            </w:pPr>
            <w:r w:rsidRPr="00CE50A2">
              <w:rPr>
                <w:rFonts w:ascii="Arial" w:hAnsi="Arial" w:cs="Arial"/>
                <w:b/>
                <w:sz w:val="18"/>
                <w:szCs w:val="18"/>
              </w:rPr>
              <w:t>2 - Minor</w:t>
            </w:r>
          </w:p>
          <w:p w:rsidR="002B1FDD" w:rsidRPr="00CE50A2" w:rsidRDefault="002B1FDD" w:rsidP="00952AB4">
            <w:pPr>
              <w:rPr>
                <w:rFonts w:ascii="Arial" w:hAnsi="Arial" w:cs="Arial"/>
                <w:sz w:val="18"/>
                <w:szCs w:val="18"/>
              </w:rPr>
            </w:pPr>
            <w:r w:rsidRPr="00CE50A2">
              <w:rPr>
                <w:rFonts w:ascii="Arial" w:hAnsi="Arial" w:cs="Arial"/>
                <w:sz w:val="18"/>
                <w:szCs w:val="18"/>
              </w:rPr>
              <w:t>Negative outcomes from risks or lost opportunities unlikely to have a permanent or significant effect on the University’s reputation or performance</w:t>
            </w:r>
          </w:p>
        </w:tc>
        <w:tc>
          <w:tcPr>
            <w:tcW w:w="5670" w:type="dxa"/>
          </w:tcPr>
          <w:p w:rsidR="002B1FDD" w:rsidRPr="004A42C2" w:rsidRDefault="002B1FDD" w:rsidP="002B1FDD">
            <w:pPr>
              <w:pStyle w:val="BodyText2"/>
              <w:numPr>
                <w:ilvl w:val="0"/>
                <w:numId w:val="16"/>
              </w:numPr>
              <w:rPr>
                <w:rFonts w:ascii="Arial" w:hAnsi="Arial" w:cs="Arial"/>
                <w:sz w:val="18"/>
                <w:szCs w:val="18"/>
              </w:rPr>
            </w:pPr>
            <w:r w:rsidRPr="004A42C2">
              <w:rPr>
                <w:rFonts w:ascii="Arial" w:hAnsi="Arial" w:cs="Arial"/>
                <w:sz w:val="18"/>
                <w:szCs w:val="18"/>
              </w:rPr>
              <w:t xml:space="preserve">Less than 0.5%of total turnover financial impact </w:t>
            </w:r>
          </w:p>
          <w:p w:rsidR="002B1FDD" w:rsidRPr="004A42C2" w:rsidRDefault="002B1FDD" w:rsidP="002B1FDD">
            <w:pPr>
              <w:pStyle w:val="BodyText2"/>
              <w:numPr>
                <w:ilvl w:val="0"/>
                <w:numId w:val="16"/>
              </w:numPr>
              <w:rPr>
                <w:rFonts w:ascii="Arial" w:hAnsi="Arial" w:cs="Arial"/>
                <w:sz w:val="18"/>
                <w:szCs w:val="18"/>
              </w:rPr>
            </w:pPr>
            <w:r w:rsidRPr="004A42C2">
              <w:rPr>
                <w:rFonts w:ascii="Arial" w:hAnsi="Arial" w:cs="Arial"/>
                <w:sz w:val="18"/>
                <w:szCs w:val="18"/>
              </w:rPr>
              <w:t>No regulatory consequence</w:t>
            </w:r>
          </w:p>
          <w:p w:rsidR="002B1FDD" w:rsidRPr="004A42C2" w:rsidRDefault="002B1FDD" w:rsidP="002B1FDD">
            <w:pPr>
              <w:pStyle w:val="BodyText2"/>
              <w:numPr>
                <w:ilvl w:val="0"/>
                <w:numId w:val="16"/>
              </w:numPr>
              <w:rPr>
                <w:rFonts w:ascii="Arial" w:hAnsi="Arial" w:cs="Arial"/>
                <w:sz w:val="18"/>
                <w:szCs w:val="18"/>
              </w:rPr>
            </w:pPr>
            <w:r w:rsidRPr="004A42C2">
              <w:rPr>
                <w:rFonts w:ascii="Arial" w:hAnsi="Arial" w:cs="Arial"/>
                <w:sz w:val="18"/>
                <w:szCs w:val="18"/>
              </w:rPr>
              <w:t>Minor adverse publicity</w:t>
            </w:r>
          </w:p>
          <w:p w:rsidR="002B1FDD" w:rsidRPr="004A42C2" w:rsidRDefault="002B1FDD" w:rsidP="002B1FDD">
            <w:pPr>
              <w:pStyle w:val="BodyText2"/>
              <w:numPr>
                <w:ilvl w:val="0"/>
                <w:numId w:val="16"/>
              </w:numPr>
              <w:rPr>
                <w:rFonts w:ascii="Arial" w:hAnsi="Arial" w:cs="Arial"/>
                <w:b/>
                <w:sz w:val="18"/>
                <w:szCs w:val="18"/>
              </w:rPr>
            </w:pPr>
            <w:r w:rsidRPr="004A42C2">
              <w:rPr>
                <w:rFonts w:ascii="Arial" w:hAnsi="Arial" w:cs="Arial"/>
                <w:sz w:val="18"/>
                <w:szCs w:val="18"/>
              </w:rPr>
              <w:t>Minor reversible injury</w:t>
            </w:r>
          </w:p>
          <w:p w:rsidR="002B1FDD" w:rsidRPr="00CE50A2" w:rsidRDefault="002B1FDD" w:rsidP="002B1FDD">
            <w:pPr>
              <w:pStyle w:val="BodyText2"/>
              <w:numPr>
                <w:ilvl w:val="0"/>
                <w:numId w:val="16"/>
              </w:numPr>
              <w:rPr>
                <w:rFonts w:ascii="Arial" w:hAnsi="Arial" w:cs="Arial"/>
                <w:b/>
                <w:sz w:val="18"/>
                <w:szCs w:val="18"/>
              </w:rPr>
            </w:pPr>
            <w:r w:rsidRPr="004A42C2">
              <w:rPr>
                <w:rFonts w:ascii="Arial" w:hAnsi="Arial" w:cs="Arial"/>
                <w:sz w:val="18"/>
                <w:szCs w:val="18"/>
              </w:rPr>
              <w:t xml:space="preserve">No more than10 days </w:t>
            </w:r>
            <w:r w:rsidR="00CE2E56">
              <w:rPr>
                <w:rFonts w:ascii="Arial" w:hAnsi="Arial" w:cs="Arial"/>
                <w:sz w:val="18"/>
                <w:szCs w:val="18"/>
              </w:rPr>
              <w:t>of</w:t>
            </w:r>
            <w:r w:rsidRPr="004A42C2">
              <w:rPr>
                <w:rFonts w:ascii="Arial" w:hAnsi="Arial" w:cs="Arial"/>
                <w:sz w:val="18"/>
                <w:szCs w:val="18"/>
              </w:rPr>
              <w:t xml:space="preserve"> senior staff time</w:t>
            </w:r>
          </w:p>
        </w:tc>
        <w:tc>
          <w:tcPr>
            <w:tcW w:w="3260" w:type="dxa"/>
          </w:tcPr>
          <w:p w:rsidR="002B1FDD" w:rsidRPr="00CE50A2" w:rsidRDefault="002B1FDD" w:rsidP="002B1FDD">
            <w:pPr>
              <w:pStyle w:val="BodyText2"/>
              <w:numPr>
                <w:ilvl w:val="0"/>
                <w:numId w:val="17"/>
              </w:numPr>
              <w:rPr>
                <w:rFonts w:ascii="Arial" w:hAnsi="Arial" w:cs="Arial"/>
                <w:sz w:val="18"/>
                <w:szCs w:val="18"/>
              </w:rPr>
            </w:pPr>
            <w:r w:rsidRPr="00CE50A2">
              <w:rPr>
                <w:rFonts w:ascii="Arial" w:hAnsi="Arial" w:cs="Arial"/>
                <w:sz w:val="18"/>
                <w:szCs w:val="18"/>
              </w:rPr>
              <w:t>University sued successfully for wrongful dismissal</w:t>
            </w:r>
          </w:p>
          <w:p w:rsidR="002B1FDD" w:rsidRPr="00CE50A2" w:rsidRDefault="002B1FDD" w:rsidP="002B1FDD">
            <w:pPr>
              <w:pStyle w:val="BodyText2"/>
              <w:numPr>
                <w:ilvl w:val="0"/>
                <w:numId w:val="17"/>
              </w:numPr>
              <w:rPr>
                <w:rFonts w:ascii="Arial" w:hAnsi="Arial" w:cs="Arial"/>
                <w:sz w:val="18"/>
                <w:szCs w:val="18"/>
              </w:rPr>
            </w:pPr>
            <w:r w:rsidRPr="00CE50A2">
              <w:rPr>
                <w:rFonts w:ascii="Arial" w:hAnsi="Arial" w:cs="Arial"/>
                <w:sz w:val="18"/>
                <w:szCs w:val="18"/>
              </w:rPr>
              <w:t>Lecturer has work related injury e.g. slips</w:t>
            </w:r>
          </w:p>
        </w:tc>
      </w:tr>
      <w:tr w:rsidR="002B1FDD" w:rsidRPr="004F749C" w:rsidTr="00952AB4">
        <w:trPr>
          <w:trHeight w:val="1534"/>
        </w:trPr>
        <w:tc>
          <w:tcPr>
            <w:tcW w:w="3120" w:type="dxa"/>
          </w:tcPr>
          <w:p w:rsidR="002B1FDD" w:rsidRPr="00CE50A2" w:rsidRDefault="002B1FDD" w:rsidP="00952AB4">
            <w:pPr>
              <w:pStyle w:val="BodyText2"/>
              <w:rPr>
                <w:rFonts w:ascii="Arial" w:hAnsi="Arial" w:cs="Arial"/>
                <w:b/>
                <w:sz w:val="18"/>
                <w:szCs w:val="18"/>
              </w:rPr>
            </w:pPr>
            <w:r w:rsidRPr="00CE50A2">
              <w:rPr>
                <w:rFonts w:ascii="Arial" w:hAnsi="Arial" w:cs="Arial"/>
                <w:b/>
                <w:sz w:val="18"/>
                <w:szCs w:val="18"/>
              </w:rPr>
              <w:t>3 – Moderate</w:t>
            </w:r>
          </w:p>
          <w:p w:rsidR="002B1FDD" w:rsidRPr="00CE50A2" w:rsidRDefault="002B1FDD" w:rsidP="00952AB4">
            <w:pPr>
              <w:rPr>
                <w:rFonts w:ascii="Arial" w:hAnsi="Arial" w:cs="Arial"/>
                <w:sz w:val="18"/>
                <w:szCs w:val="18"/>
              </w:rPr>
            </w:pPr>
            <w:r w:rsidRPr="00CE50A2">
              <w:rPr>
                <w:rFonts w:ascii="Arial" w:hAnsi="Arial" w:cs="Arial"/>
                <w:sz w:val="18"/>
                <w:szCs w:val="18"/>
              </w:rPr>
              <w:t>Negative outcomes from risks or lost opportunities having a significant impact on the University. Can be managed without major impact in the medium term</w:t>
            </w:r>
          </w:p>
        </w:tc>
        <w:tc>
          <w:tcPr>
            <w:tcW w:w="5670" w:type="dxa"/>
          </w:tcPr>
          <w:p w:rsidR="002B1FDD" w:rsidRPr="004A42C2" w:rsidRDefault="002B1FDD" w:rsidP="002B1FDD">
            <w:pPr>
              <w:pStyle w:val="BodyText2"/>
              <w:numPr>
                <w:ilvl w:val="0"/>
                <w:numId w:val="18"/>
              </w:numPr>
              <w:rPr>
                <w:rFonts w:ascii="Arial" w:hAnsi="Arial" w:cs="Arial"/>
                <w:sz w:val="18"/>
                <w:szCs w:val="18"/>
              </w:rPr>
            </w:pPr>
            <w:r w:rsidRPr="004A42C2">
              <w:rPr>
                <w:rFonts w:ascii="Arial" w:hAnsi="Arial" w:cs="Arial"/>
                <w:sz w:val="18"/>
                <w:szCs w:val="18"/>
              </w:rPr>
              <w:t xml:space="preserve">Financial loss up to 2% of total turnover  in any year </w:t>
            </w:r>
          </w:p>
          <w:p w:rsidR="002B1FDD" w:rsidRPr="004A42C2" w:rsidRDefault="002B1FDD" w:rsidP="002B1FDD">
            <w:pPr>
              <w:pStyle w:val="BodyText2"/>
              <w:numPr>
                <w:ilvl w:val="0"/>
                <w:numId w:val="18"/>
              </w:numPr>
              <w:rPr>
                <w:rFonts w:ascii="Arial" w:hAnsi="Arial" w:cs="Arial"/>
                <w:sz w:val="18"/>
                <w:szCs w:val="18"/>
              </w:rPr>
            </w:pPr>
            <w:r w:rsidRPr="004A42C2">
              <w:rPr>
                <w:rFonts w:ascii="Arial" w:hAnsi="Arial" w:cs="Arial"/>
                <w:sz w:val="18"/>
                <w:szCs w:val="18"/>
              </w:rPr>
              <w:t>Limited regulatory consequence</w:t>
            </w:r>
          </w:p>
          <w:p w:rsidR="002B1FDD" w:rsidRPr="004A42C2" w:rsidRDefault="002B1FDD" w:rsidP="002B1FDD">
            <w:pPr>
              <w:pStyle w:val="BodyText2"/>
              <w:numPr>
                <w:ilvl w:val="0"/>
                <w:numId w:val="18"/>
              </w:numPr>
              <w:rPr>
                <w:rFonts w:ascii="Arial" w:hAnsi="Arial" w:cs="Arial"/>
                <w:b/>
                <w:sz w:val="18"/>
                <w:szCs w:val="18"/>
              </w:rPr>
            </w:pPr>
            <w:r w:rsidRPr="004A42C2">
              <w:rPr>
                <w:rFonts w:ascii="Arial" w:hAnsi="Arial" w:cs="Arial"/>
                <w:sz w:val="18"/>
                <w:szCs w:val="18"/>
              </w:rPr>
              <w:t xml:space="preserve">Local adverse publicity of subject area </w:t>
            </w:r>
          </w:p>
          <w:p w:rsidR="002B1FDD" w:rsidRPr="004A42C2" w:rsidRDefault="002B1FDD" w:rsidP="002B1FDD">
            <w:pPr>
              <w:pStyle w:val="BodyText2"/>
              <w:numPr>
                <w:ilvl w:val="0"/>
                <w:numId w:val="18"/>
              </w:numPr>
              <w:rPr>
                <w:rFonts w:ascii="Arial" w:hAnsi="Arial" w:cs="Arial"/>
                <w:b/>
                <w:sz w:val="18"/>
                <w:szCs w:val="18"/>
              </w:rPr>
            </w:pPr>
            <w:r w:rsidRPr="004A42C2">
              <w:rPr>
                <w:rFonts w:ascii="Arial" w:hAnsi="Arial" w:cs="Arial"/>
                <w:sz w:val="18"/>
                <w:szCs w:val="18"/>
              </w:rPr>
              <w:t>Major reversible injury</w:t>
            </w:r>
          </w:p>
          <w:p w:rsidR="002B1FDD" w:rsidRPr="00CE50A2" w:rsidRDefault="002B1FDD" w:rsidP="002B1FDD">
            <w:pPr>
              <w:pStyle w:val="BodyText2"/>
              <w:numPr>
                <w:ilvl w:val="0"/>
                <w:numId w:val="18"/>
              </w:numPr>
              <w:rPr>
                <w:rFonts w:ascii="Arial" w:hAnsi="Arial" w:cs="Arial"/>
                <w:b/>
                <w:sz w:val="18"/>
                <w:szCs w:val="18"/>
              </w:rPr>
            </w:pPr>
            <w:r w:rsidRPr="004A42C2">
              <w:rPr>
                <w:rFonts w:ascii="Arial" w:hAnsi="Arial" w:cs="Arial"/>
                <w:sz w:val="18"/>
                <w:szCs w:val="18"/>
              </w:rPr>
              <w:t>No more than 25 days of senior staff time</w:t>
            </w:r>
          </w:p>
        </w:tc>
        <w:tc>
          <w:tcPr>
            <w:tcW w:w="3260" w:type="dxa"/>
          </w:tcPr>
          <w:p w:rsidR="002B1FDD" w:rsidRPr="00CE50A2" w:rsidRDefault="002B1FDD" w:rsidP="002B1FDD">
            <w:pPr>
              <w:pStyle w:val="BodyText2"/>
              <w:numPr>
                <w:ilvl w:val="0"/>
                <w:numId w:val="19"/>
              </w:numPr>
              <w:rPr>
                <w:rFonts w:ascii="Arial" w:hAnsi="Arial" w:cs="Arial"/>
                <w:sz w:val="18"/>
                <w:szCs w:val="18"/>
              </w:rPr>
            </w:pPr>
            <w:r w:rsidRPr="00CE50A2">
              <w:rPr>
                <w:rFonts w:ascii="Arial" w:hAnsi="Arial" w:cs="Arial"/>
                <w:sz w:val="18"/>
                <w:szCs w:val="18"/>
              </w:rPr>
              <w:t>Major IT project late or overspent</w:t>
            </w:r>
          </w:p>
          <w:p w:rsidR="002B1FDD" w:rsidRPr="00CE50A2" w:rsidRDefault="002B1FDD" w:rsidP="002B1FDD">
            <w:pPr>
              <w:pStyle w:val="BodyText2"/>
              <w:numPr>
                <w:ilvl w:val="0"/>
                <w:numId w:val="19"/>
              </w:numPr>
              <w:rPr>
                <w:rFonts w:ascii="Arial" w:hAnsi="Arial" w:cs="Arial"/>
                <w:sz w:val="18"/>
                <w:szCs w:val="18"/>
              </w:rPr>
            </w:pPr>
            <w:r w:rsidRPr="00CE50A2">
              <w:rPr>
                <w:rFonts w:ascii="Arial" w:hAnsi="Arial" w:cs="Arial"/>
                <w:sz w:val="18"/>
                <w:szCs w:val="18"/>
              </w:rPr>
              <w:t>Contractual staff injured due to University negligence</w:t>
            </w:r>
          </w:p>
          <w:p w:rsidR="002B1FDD" w:rsidRPr="00CE50A2" w:rsidRDefault="002B1FDD" w:rsidP="002B1FDD">
            <w:pPr>
              <w:pStyle w:val="BodyText2"/>
              <w:numPr>
                <w:ilvl w:val="0"/>
                <w:numId w:val="19"/>
              </w:numPr>
              <w:rPr>
                <w:rFonts w:ascii="Arial" w:hAnsi="Arial" w:cs="Arial"/>
                <w:sz w:val="18"/>
                <w:szCs w:val="18"/>
              </w:rPr>
            </w:pPr>
            <w:r w:rsidRPr="00CE50A2">
              <w:rPr>
                <w:rFonts w:ascii="Arial" w:hAnsi="Arial" w:cs="Arial"/>
                <w:sz w:val="18"/>
                <w:szCs w:val="18"/>
              </w:rPr>
              <w:t xml:space="preserve">Loss of a major contract </w:t>
            </w:r>
          </w:p>
        </w:tc>
      </w:tr>
      <w:tr w:rsidR="002B1FDD" w:rsidRPr="004F749C" w:rsidTr="00952AB4">
        <w:trPr>
          <w:trHeight w:val="1897"/>
        </w:trPr>
        <w:tc>
          <w:tcPr>
            <w:tcW w:w="3120" w:type="dxa"/>
          </w:tcPr>
          <w:p w:rsidR="002B1FDD" w:rsidRPr="00CE50A2" w:rsidRDefault="002B1FDD" w:rsidP="00952AB4">
            <w:pPr>
              <w:pStyle w:val="BodyText2"/>
              <w:rPr>
                <w:rFonts w:ascii="Arial" w:hAnsi="Arial" w:cs="Arial"/>
                <w:b/>
                <w:sz w:val="18"/>
                <w:szCs w:val="18"/>
              </w:rPr>
            </w:pPr>
            <w:r w:rsidRPr="00CE50A2">
              <w:rPr>
                <w:rFonts w:ascii="Arial" w:hAnsi="Arial" w:cs="Arial"/>
                <w:b/>
                <w:sz w:val="18"/>
                <w:szCs w:val="18"/>
              </w:rPr>
              <w:t>4 - Serious</w:t>
            </w:r>
          </w:p>
          <w:p w:rsidR="002B1FDD" w:rsidRPr="00CE50A2" w:rsidRDefault="002B1FDD" w:rsidP="00952AB4">
            <w:pPr>
              <w:rPr>
                <w:rFonts w:ascii="Arial" w:hAnsi="Arial" w:cs="Arial"/>
                <w:sz w:val="18"/>
                <w:szCs w:val="18"/>
              </w:rPr>
            </w:pPr>
            <w:r w:rsidRPr="00CE50A2">
              <w:rPr>
                <w:rFonts w:ascii="Arial" w:hAnsi="Arial" w:cs="Arial"/>
                <w:sz w:val="18"/>
                <w:szCs w:val="18"/>
              </w:rPr>
              <w:t>Negative outcomes from risks or lost opportunities with a significant effect that will require major effort to manage and resolve in the medium term but do not threaten the existence of the institution in the medium term</w:t>
            </w:r>
          </w:p>
        </w:tc>
        <w:tc>
          <w:tcPr>
            <w:tcW w:w="5670" w:type="dxa"/>
          </w:tcPr>
          <w:p w:rsidR="002B1FDD" w:rsidRPr="004A42C2" w:rsidRDefault="002B1FDD" w:rsidP="002B1FDD">
            <w:pPr>
              <w:pStyle w:val="BodyText2"/>
              <w:numPr>
                <w:ilvl w:val="0"/>
                <w:numId w:val="20"/>
              </w:numPr>
              <w:rPr>
                <w:rFonts w:ascii="Arial" w:hAnsi="Arial" w:cs="Arial"/>
                <w:strike/>
                <w:sz w:val="18"/>
                <w:szCs w:val="18"/>
              </w:rPr>
            </w:pPr>
            <w:r w:rsidRPr="004A42C2">
              <w:rPr>
                <w:rFonts w:ascii="Arial" w:hAnsi="Arial" w:cs="Arial"/>
                <w:sz w:val="18"/>
                <w:szCs w:val="18"/>
              </w:rPr>
              <w:t>Financial loss over 2% of total turnover in a single year</w:t>
            </w:r>
          </w:p>
          <w:p w:rsidR="002B1FDD" w:rsidRPr="004A42C2" w:rsidRDefault="002B1FDD" w:rsidP="002B1FDD">
            <w:pPr>
              <w:pStyle w:val="BodyText2"/>
              <w:numPr>
                <w:ilvl w:val="0"/>
                <w:numId w:val="20"/>
              </w:numPr>
              <w:rPr>
                <w:rFonts w:ascii="Arial" w:hAnsi="Arial" w:cs="Arial"/>
                <w:sz w:val="18"/>
                <w:szCs w:val="18"/>
              </w:rPr>
            </w:pPr>
            <w:r w:rsidRPr="004A42C2">
              <w:rPr>
                <w:rFonts w:ascii="Arial" w:hAnsi="Arial" w:cs="Arial"/>
                <w:sz w:val="18"/>
                <w:szCs w:val="18"/>
              </w:rPr>
              <w:t>Major savings programme required to break-even in the medium term</w:t>
            </w:r>
          </w:p>
          <w:p w:rsidR="002B1FDD" w:rsidRPr="004A42C2" w:rsidRDefault="002B1FDD" w:rsidP="002B1FDD">
            <w:pPr>
              <w:pStyle w:val="BodyText2"/>
              <w:numPr>
                <w:ilvl w:val="0"/>
                <w:numId w:val="20"/>
              </w:numPr>
              <w:rPr>
                <w:rFonts w:ascii="Arial" w:hAnsi="Arial" w:cs="Arial"/>
                <w:sz w:val="18"/>
                <w:szCs w:val="18"/>
              </w:rPr>
            </w:pPr>
            <w:r w:rsidRPr="004A42C2">
              <w:rPr>
                <w:rFonts w:ascii="Arial" w:hAnsi="Arial" w:cs="Arial"/>
                <w:sz w:val="18"/>
                <w:szCs w:val="18"/>
              </w:rPr>
              <w:t>Significant regulatory consequence</w:t>
            </w:r>
          </w:p>
          <w:p w:rsidR="002B1FDD" w:rsidRPr="004A42C2" w:rsidRDefault="002B1FDD" w:rsidP="002B1FDD">
            <w:pPr>
              <w:pStyle w:val="BodyText2"/>
              <w:numPr>
                <w:ilvl w:val="0"/>
                <w:numId w:val="20"/>
              </w:numPr>
              <w:rPr>
                <w:rFonts w:ascii="Arial" w:hAnsi="Arial" w:cs="Arial"/>
                <w:sz w:val="18"/>
                <w:szCs w:val="18"/>
              </w:rPr>
            </w:pPr>
            <w:r w:rsidRPr="004A42C2">
              <w:rPr>
                <w:rFonts w:ascii="Arial" w:hAnsi="Arial" w:cs="Arial"/>
                <w:sz w:val="18"/>
                <w:szCs w:val="18"/>
              </w:rPr>
              <w:t>Negative headlines in the national press</w:t>
            </w:r>
          </w:p>
          <w:p w:rsidR="002B1FDD" w:rsidRPr="004A42C2" w:rsidRDefault="002B1FDD" w:rsidP="002B1FDD">
            <w:pPr>
              <w:pStyle w:val="BodyText2"/>
              <w:numPr>
                <w:ilvl w:val="0"/>
                <w:numId w:val="20"/>
              </w:numPr>
              <w:rPr>
                <w:rFonts w:ascii="Arial" w:hAnsi="Arial" w:cs="Arial"/>
                <w:sz w:val="18"/>
                <w:szCs w:val="18"/>
              </w:rPr>
            </w:pPr>
            <w:r w:rsidRPr="004A42C2">
              <w:rPr>
                <w:rFonts w:ascii="Arial" w:hAnsi="Arial" w:cs="Arial"/>
                <w:sz w:val="18"/>
                <w:szCs w:val="18"/>
              </w:rPr>
              <w:t>Irreversible injury or death</w:t>
            </w:r>
          </w:p>
          <w:p w:rsidR="002B1FDD" w:rsidRPr="00CE50A2" w:rsidRDefault="002B1FDD" w:rsidP="002B1FDD">
            <w:pPr>
              <w:pStyle w:val="BodyText2"/>
              <w:numPr>
                <w:ilvl w:val="0"/>
                <w:numId w:val="20"/>
              </w:numPr>
              <w:rPr>
                <w:rFonts w:ascii="Arial" w:hAnsi="Arial" w:cs="Arial"/>
                <w:sz w:val="18"/>
                <w:szCs w:val="18"/>
              </w:rPr>
            </w:pPr>
            <w:r w:rsidRPr="004A42C2">
              <w:rPr>
                <w:rFonts w:ascii="Arial" w:hAnsi="Arial" w:cs="Arial"/>
                <w:sz w:val="18"/>
                <w:szCs w:val="18"/>
              </w:rPr>
              <w:t>No more than 45 days of senior staff time</w:t>
            </w:r>
          </w:p>
        </w:tc>
        <w:tc>
          <w:tcPr>
            <w:tcW w:w="3260" w:type="dxa"/>
          </w:tcPr>
          <w:p w:rsidR="002B1FDD" w:rsidRPr="00CE50A2" w:rsidRDefault="002B1FDD" w:rsidP="002B1FDD">
            <w:pPr>
              <w:pStyle w:val="BodyText2"/>
              <w:numPr>
                <w:ilvl w:val="0"/>
                <w:numId w:val="21"/>
              </w:numPr>
              <w:rPr>
                <w:rFonts w:ascii="Arial" w:hAnsi="Arial" w:cs="Arial"/>
                <w:sz w:val="18"/>
                <w:szCs w:val="18"/>
              </w:rPr>
            </w:pPr>
            <w:r w:rsidRPr="00CE50A2">
              <w:rPr>
                <w:rFonts w:ascii="Arial" w:hAnsi="Arial" w:cs="Arial"/>
                <w:sz w:val="18"/>
                <w:szCs w:val="18"/>
              </w:rPr>
              <w:t>Research team found to have falsified results with a major impact e.g. on health issues</w:t>
            </w:r>
          </w:p>
          <w:p w:rsidR="002B1FDD" w:rsidRPr="00CE50A2" w:rsidRDefault="002B1FDD" w:rsidP="002B1FDD">
            <w:pPr>
              <w:pStyle w:val="BodyText2"/>
              <w:numPr>
                <w:ilvl w:val="0"/>
                <w:numId w:val="21"/>
              </w:numPr>
              <w:rPr>
                <w:rFonts w:ascii="Arial" w:hAnsi="Arial" w:cs="Arial"/>
                <w:sz w:val="18"/>
                <w:szCs w:val="18"/>
              </w:rPr>
            </w:pPr>
            <w:r w:rsidRPr="00CE50A2">
              <w:rPr>
                <w:rFonts w:ascii="Arial" w:hAnsi="Arial" w:cs="Arial"/>
                <w:sz w:val="18"/>
                <w:szCs w:val="18"/>
              </w:rPr>
              <w:t xml:space="preserve">Major overseas recruitment problems due to war or terrorism – potential to escalate to very serious </w:t>
            </w:r>
          </w:p>
          <w:p w:rsidR="002B1FDD" w:rsidRPr="00CE50A2" w:rsidRDefault="002B1FDD" w:rsidP="002B1FDD">
            <w:pPr>
              <w:pStyle w:val="BodyText2"/>
              <w:numPr>
                <w:ilvl w:val="0"/>
                <w:numId w:val="21"/>
              </w:numPr>
              <w:rPr>
                <w:rFonts w:ascii="Arial" w:hAnsi="Arial" w:cs="Arial"/>
                <w:sz w:val="18"/>
                <w:szCs w:val="18"/>
              </w:rPr>
            </w:pPr>
            <w:r w:rsidRPr="00CE50A2">
              <w:rPr>
                <w:rFonts w:ascii="Arial" w:hAnsi="Arial" w:cs="Arial"/>
                <w:sz w:val="18"/>
                <w:szCs w:val="18"/>
              </w:rPr>
              <w:t>University financial systems fail completely and cannot be recovered</w:t>
            </w:r>
          </w:p>
        </w:tc>
      </w:tr>
      <w:tr w:rsidR="002B1FDD" w:rsidRPr="004F749C" w:rsidTr="00952AB4">
        <w:tc>
          <w:tcPr>
            <w:tcW w:w="3120" w:type="dxa"/>
          </w:tcPr>
          <w:p w:rsidR="002B1FDD" w:rsidRPr="00CE50A2" w:rsidRDefault="002B1FDD" w:rsidP="00952AB4">
            <w:pPr>
              <w:pStyle w:val="BodyText2"/>
              <w:rPr>
                <w:rFonts w:ascii="Arial" w:hAnsi="Arial" w:cs="Arial"/>
                <w:b/>
                <w:sz w:val="18"/>
                <w:szCs w:val="18"/>
              </w:rPr>
            </w:pPr>
            <w:r w:rsidRPr="00CE50A2">
              <w:rPr>
                <w:rFonts w:ascii="Arial" w:hAnsi="Arial" w:cs="Arial"/>
                <w:b/>
                <w:sz w:val="18"/>
                <w:szCs w:val="18"/>
              </w:rPr>
              <w:t>5 – Very serious</w:t>
            </w:r>
          </w:p>
          <w:p w:rsidR="002B1FDD" w:rsidRPr="00CE50A2" w:rsidRDefault="002B1FDD" w:rsidP="00952AB4">
            <w:pPr>
              <w:rPr>
                <w:rFonts w:ascii="Arial" w:hAnsi="Arial" w:cs="Arial"/>
                <w:sz w:val="18"/>
                <w:szCs w:val="18"/>
              </w:rPr>
            </w:pPr>
            <w:r w:rsidRPr="00CE50A2">
              <w:rPr>
                <w:rFonts w:ascii="Arial" w:hAnsi="Arial" w:cs="Arial"/>
                <w:sz w:val="18"/>
                <w:szCs w:val="18"/>
              </w:rPr>
              <w:t>Negative outcomes from risks or lost opportunities which if not resolved in the medium term will threaten the existence of the institution</w:t>
            </w:r>
          </w:p>
        </w:tc>
        <w:tc>
          <w:tcPr>
            <w:tcW w:w="5670" w:type="dxa"/>
          </w:tcPr>
          <w:p w:rsidR="002B1FDD" w:rsidRPr="004A42C2" w:rsidRDefault="002B1FDD" w:rsidP="002B1FDD">
            <w:pPr>
              <w:pStyle w:val="BodyText2"/>
              <w:numPr>
                <w:ilvl w:val="0"/>
                <w:numId w:val="22"/>
              </w:numPr>
              <w:rPr>
                <w:rFonts w:ascii="Arial" w:hAnsi="Arial" w:cs="Arial"/>
                <w:sz w:val="18"/>
                <w:szCs w:val="18"/>
              </w:rPr>
            </w:pPr>
            <w:r w:rsidRPr="004A42C2">
              <w:rPr>
                <w:rFonts w:ascii="Arial" w:hAnsi="Arial" w:cs="Arial"/>
                <w:sz w:val="18"/>
                <w:szCs w:val="18"/>
              </w:rPr>
              <w:t>Financial loss (or loss of potential financial surplus) over 2% of turnover for consecutive years or over 5% in a single year</w:t>
            </w:r>
          </w:p>
          <w:p w:rsidR="002B1FDD" w:rsidRPr="004A42C2" w:rsidRDefault="002B1FDD" w:rsidP="002B1FDD">
            <w:pPr>
              <w:pStyle w:val="BodyText2"/>
              <w:numPr>
                <w:ilvl w:val="0"/>
                <w:numId w:val="22"/>
              </w:numPr>
              <w:rPr>
                <w:rFonts w:ascii="Arial" w:hAnsi="Arial" w:cs="Arial"/>
                <w:sz w:val="18"/>
                <w:szCs w:val="18"/>
              </w:rPr>
            </w:pPr>
            <w:r w:rsidRPr="004A42C2">
              <w:rPr>
                <w:rFonts w:ascii="Arial" w:hAnsi="Arial" w:cs="Arial"/>
                <w:sz w:val="18"/>
                <w:szCs w:val="18"/>
              </w:rPr>
              <w:t>Substantial regulatory consequence</w:t>
            </w:r>
          </w:p>
          <w:p w:rsidR="002B1FDD" w:rsidRPr="004A42C2" w:rsidRDefault="002B1FDD" w:rsidP="002B1FDD">
            <w:pPr>
              <w:pStyle w:val="BodyText2"/>
              <w:numPr>
                <w:ilvl w:val="0"/>
                <w:numId w:val="22"/>
              </w:numPr>
              <w:rPr>
                <w:rFonts w:ascii="Arial" w:hAnsi="Arial" w:cs="Arial"/>
                <w:sz w:val="18"/>
                <w:szCs w:val="18"/>
              </w:rPr>
            </w:pPr>
            <w:r w:rsidRPr="004A42C2">
              <w:rPr>
                <w:rFonts w:ascii="Arial" w:hAnsi="Arial" w:cs="Arial"/>
                <w:sz w:val="18"/>
                <w:szCs w:val="18"/>
              </w:rPr>
              <w:t>Sustained negative headlines in national press</w:t>
            </w:r>
          </w:p>
          <w:p w:rsidR="002B1FDD" w:rsidRPr="004A42C2" w:rsidRDefault="002B1FDD" w:rsidP="002B1FDD">
            <w:pPr>
              <w:pStyle w:val="BodyText2"/>
              <w:numPr>
                <w:ilvl w:val="0"/>
                <w:numId w:val="22"/>
              </w:numPr>
              <w:rPr>
                <w:rFonts w:ascii="Arial" w:hAnsi="Arial" w:cs="Arial"/>
                <w:sz w:val="18"/>
                <w:szCs w:val="18"/>
              </w:rPr>
            </w:pPr>
            <w:r w:rsidRPr="004A42C2">
              <w:rPr>
                <w:rFonts w:ascii="Arial" w:hAnsi="Arial" w:cs="Arial"/>
                <w:sz w:val="18"/>
                <w:szCs w:val="18"/>
              </w:rPr>
              <w:t>Major negative sanction by HEFCW</w:t>
            </w:r>
          </w:p>
          <w:p w:rsidR="002B1FDD" w:rsidRPr="004A42C2" w:rsidRDefault="002B1FDD" w:rsidP="002B1FDD">
            <w:pPr>
              <w:pStyle w:val="BodyText2"/>
              <w:numPr>
                <w:ilvl w:val="0"/>
                <w:numId w:val="22"/>
              </w:numPr>
              <w:rPr>
                <w:rFonts w:ascii="Arial" w:hAnsi="Arial" w:cs="Arial"/>
                <w:sz w:val="18"/>
                <w:szCs w:val="18"/>
              </w:rPr>
            </w:pPr>
            <w:r w:rsidRPr="004A42C2">
              <w:rPr>
                <w:rFonts w:ascii="Arial" w:hAnsi="Arial" w:cs="Arial"/>
                <w:sz w:val="18"/>
                <w:szCs w:val="18"/>
              </w:rPr>
              <w:t>Closure of major part of business</w:t>
            </w:r>
          </w:p>
          <w:p w:rsidR="002B1FDD" w:rsidRPr="004A42C2" w:rsidRDefault="002B1FDD" w:rsidP="002B1FDD">
            <w:pPr>
              <w:pStyle w:val="BodyText2"/>
              <w:numPr>
                <w:ilvl w:val="0"/>
                <w:numId w:val="22"/>
              </w:numPr>
              <w:rPr>
                <w:rFonts w:ascii="Arial" w:hAnsi="Arial" w:cs="Arial"/>
                <w:sz w:val="18"/>
                <w:szCs w:val="18"/>
              </w:rPr>
            </w:pPr>
            <w:r w:rsidRPr="004A42C2">
              <w:rPr>
                <w:rFonts w:ascii="Arial" w:hAnsi="Arial" w:cs="Arial"/>
                <w:sz w:val="18"/>
                <w:szCs w:val="18"/>
              </w:rPr>
              <w:t>Irreversible multiple injury or death</w:t>
            </w:r>
          </w:p>
          <w:p w:rsidR="002B1FDD" w:rsidRPr="00CE50A2" w:rsidRDefault="002B1FDD" w:rsidP="002B1FDD">
            <w:pPr>
              <w:pStyle w:val="BodyText2"/>
              <w:numPr>
                <w:ilvl w:val="0"/>
                <w:numId w:val="22"/>
              </w:numPr>
              <w:rPr>
                <w:rFonts w:ascii="Arial" w:hAnsi="Arial" w:cs="Arial"/>
                <w:sz w:val="18"/>
                <w:szCs w:val="18"/>
              </w:rPr>
            </w:pPr>
            <w:r w:rsidRPr="004A42C2">
              <w:rPr>
                <w:rFonts w:ascii="Arial" w:hAnsi="Arial" w:cs="Arial"/>
                <w:sz w:val="18"/>
                <w:szCs w:val="18"/>
              </w:rPr>
              <w:t>Over 45 days of senior staff time</w:t>
            </w:r>
          </w:p>
        </w:tc>
        <w:tc>
          <w:tcPr>
            <w:tcW w:w="3260" w:type="dxa"/>
          </w:tcPr>
          <w:p w:rsidR="002B1FDD" w:rsidRPr="00CE50A2" w:rsidRDefault="002B1FDD" w:rsidP="002B1FDD">
            <w:pPr>
              <w:pStyle w:val="BodyText2"/>
              <w:numPr>
                <w:ilvl w:val="0"/>
                <w:numId w:val="23"/>
              </w:numPr>
              <w:rPr>
                <w:rFonts w:ascii="Arial" w:hAnsi="Arial" w:cs="Arial"/>
                <w:sz w:val="18"/>
                <w:szCs w:val="18"/>
              </w:rPr>
            </w:pPr>
            <w:r w:rsidRPr="00CE50A2">
              <w:rPr>
                <w:rFonts w:ascii="Arial" w:hAnsi="Arial" w:cs="Arial"/>
                <w:sz w:val="18"/>
                <w:szCs w:val="18"/>
              </w:rPr>
              <w:t>Major accident due to University negligence</w:t>
            </w:r>
          </w:p>
          <w:p w:rsidR="002B1FDD" w:rsidRPr="00CE50A2" w:rsidRDefault="002B1FDD" w:rsidP="002B1FDD">
            <w:pPr>
              <w:pStyle w:val="BodyText2"/>
              <w:numPr>
                <w:ilvl w:val="0"/>
                <w:numId w:val="23"/>
              </w:numPr>
              <w:rPr>
                <w:rFonts w:ascii="Arial" w:hAnsi="Arial" w:cs="Arial"/>
                <w:sz w:val="18"/>
                <w:szCs w:val="18"/>
              </w:rPr>
            </w:pPr>
            <w:r w:rsidRPr="00CE50A2">
              <w:rPr>
                <w:rFonts w:ascii="Arial" w:hAnsi="Arial" w:cs="Arial"/>
                <w:sz w:val="18"/>
                <w:szCs w:val="18"/>
              </w:rPr>
              <w:t>Major fire prevents substantial part of the University delivering courses</w:t>
            </w:r>
          </w:p>
          <w:p w:rsidR="002B1FDD" w:rsidRPr="00CE50A2" w:rsidRDefault="002B1FDD" w:rsidP="002B1FDD">
            <w:pPr>
              <w:pStyle w:val="BodyText2"/>
              <w:numPr>
                <w:ilvl w:val="0"/>
                <w:numId w:val="23"/>
              </w:numPr>
              <w:rPr>
                <w:rFonts w:ascii="Arial" w:hAnsi="Arial" w:cs="Arial"/>
                <w:sz w:val="18"/>
                <w:szCs w:val="18"/>
              </w:rPr>
            </w:pPr>
            <w:r w:rsidRPr="00CE50A2">
              <w:rPr>
                <w:rFonts w:ascii="Arial" w:hAnsi="Arial" w:cs="Arial"/>
                <w:sz w:val="18"/>
                <w:szCs w:val="18"/>
              </w:rPr>
              <w:t>Collapse in student application numbers</w:t>
            </w:r>
          </w:p>
          <w:p w:rsidR="002B1FDD" w:rsidRPr="00CE50A2" w:rsidRDefault="002B1FDD" w:rsidP="002B1FDD">
            <w:pPr>
              <w:pStyle w:val="BodyText2"/>
              <w:numPr>
                <w:ilvl w:val="0"/>
                <w:numId w:val="23"/>
              </w:numPr>
              <w:rPr>
                <w:rFonts w:ascii="Arial" w:hAnsi="Arial" w:cs="Arial"/>
                <w:sz w:val="18"/>
                <w:szCs w:val="18"/>
              </w:rPr>
            </w:pPr>
            <w:r w:rsidRPr="00CE50A2">
              <w:rPr>
                <w:rFonts w:ascii="Arial" w:hAnsi="Arial" w:cs="Arial"/>
                <w:sz w:val="18"/>
                <w:szCs w:val="18"/>
              </w:rPr>
              <w:t>Sustained failure to recruit staff</w:t>
            </w:r>
          </w:p>
          <w:p w:rsidR="002B1FDD" w:rsidRPr="00CE50A2" w:rsidRDefault="002B1FDD" w:rsidP="00952AB4">
            <w:pPr>
              <w:pStyle w:val="BodyText2"/>
              <w:rPr>
                <w:rFonts w:ascii="Arial" w:hAnsi="Arial" w:cs="Arial"/>
                <w:sz w:val="18"/>
                <w:szCs w:val="18"/>
              </w:rPr>
            </w:pPr>
          </w:p>
        </w:tc>
      </w:tr>
    </w:tbl>
    <w:p w:rsidR="002B1FDD" w:rsidRDefault="002B1FDD" w:rsidP="00BC6122">
      <w:pPr>
        <w:autoSpaceDE w:val="0"/>
        <w:autoSpaceDN w:val="0"/>
        <w:adjustRightInd w:val="0"/>
        <w:spacing w:after="40" w:line="240" w:lineRule="auto"/>
        <w:rPr>
          <w:rFonts w:ascii="Verdana" w:hAnsi="Verdana"/>
          <w:color w:val="000000"/>
          <w:sz w:val="20"/>
          <w:szCs w:val="20"/>
          <w:lang w:eastAsia="en-GB"/>
        </w:rPr>
      </w:pPr>
    </w:p>
    <w:p w:rsidR="00CE2E56" w:rsidRDefault="00CE2E56" w:rsidP="00BC6122">
      <w:pPr>
        <w:autoSpaceDE w:val="0"/>
        <w:autoSpaceDN w:val="0"/>
        <w:adjustRightInd w:val="0"/>
        <w:spacing w:after="40" w:line="240" w:lineRule="auto"/>
        <w:rPr>
          <w:rFonts w:ascii="Verdana" w:hAnsi="Verdana"/>
          <w:color w:val="000000"/>
          <w:sz w:val="20"/>
          <w:szCs w:val="20"/>
          <w:lang w:eastAsia="en-GB"/>
        </w:rPr>
      </w:pPr>
    </w:p>
    <w:p w:rsidR="00CE2E56" w:rsidRDefault="00CE2E56" w:rsidP="00BC6122">
      <w:pPr>
        <w:autoSpaceDE w:val="0"/>
        <w:autoSpaceDN w:val="0"/>
        <w:adjustRightInd w:val="0"/>
        <w:spacing w:after="40" w:line="240" w:lineRule="auto"/>
        <w:rPr>
          <w:rFonts w:ascii="Verdana" w:hAnsi="Verdana"/>
          <w:color w:val="000000"/>
          <w:sz w:val="20"/>
          <w:szCs w:val="20"/>
          <w:lang w:eastAsia="en-GB"/>
        </w:rPr>
      </w:pPr>
    </w:p>
    <w:p w:rsidR="00CE2E56" w:rsidRDefault="00CE2E56" w:rsidP="00BC6122">
      <w:pPr>
        <w:autoSpaceDE w:val="0"/>
        <w:autoSpaceDN w:val="0"/>
        <w:adjustRightInd w:val="0"/>
        <w:spacing w:after="40" w:line="240" w:lineRule="auto"/>
        <w:rPr>
          <w:rFonts w:ascii="Verdana" w:hAnsi="Verdana"/>
          <w:color w:val="000000"/>
          <w:sz w:val="20"/>
          <w:szCs w:val="20"/>
          <w:lang w:eastAsia="en-GB"/>
        </w:rPr>
      </w:pPr>
    </w:p>
    <w:p w:rsidR="00CE2E56" w:rsidRDefault="00CE2E56" w:rsidP="00BC6122">
      <w:pPr>
        <w:autoSpaceDE w:val="0"/>
        <w:autoSpaceDN w:val="0"/>
        <w:adjustRightInd w:val="0"/>
        <w:spacing w:after="40" w:line="240" w:lineRule="auto"/>
        <w:rPr>
          <w:rFonts w:ascii="Verdana" w:hAnsi="Verdana"/>
          <w:color w:val="000000"/>
          <w:sz w:val="20"/>
          <w:szCs w:val="20"/>
          <w:lang w:eastAsia="en-GB"/>
        </w:rPr>
      </w:pPr>
    </w:p>
    <w:p w:rsidR="00CE2E56" w:rsidRDefault="00CE2E56" w:rsidP="00BC6122">
      <w:pPr>
        <w:autoSpaceDE w:val="0"/>
        <w:autoSpaceDN w:val="0"/>
        <w:adjustRightInd w:val="0"/>
        <w:spacing w:after="40" w:line="240" w:lineRule="auto"/>
        <w:rPr>
          <w:rFonts w:ascii="Verdana" w:hAnsi="Verdana"/>
          <w:color w:val="000000"/>
          <w:sz w:val="20"/>
          <w:szCs w:val="20"/>
          <w:lang w:eastAsia="en-GB"/>
        </w:rPr>
      </w:pPr>
    </w:p>
    <w:p w:rsidR="00CE2E56" w:rsidRDefault="00CE2E56" w:rsidP="00BC6122">
      <w:pPr>
        <w:autoSpaceDE w:val="0"/>
        <w:autoSpaceDN w:val="0"/>
        <w:adjustRightInd w:val="0"/>
        <w:spacing w:after="40" w:line="240" w:lineRule="auto"/>
        <w:rPr>
          <w:rFonts w:ascii="Verdana" w:hAnsi="Verdana"/>
          <w:color w:val="000000"/>
          <w:sz w:val="20"/>
          <w:szCs w:val="20"/>
          <w:lang w:eastAsia="en-GB"/>
        </w:rPr>
      </w:pPr>
    </w:p>
    <w:p w:rsidR="00CE2E56" w:rsidRPr="009E7371" w:rsidRDefault="00CE2E56" w:rsidP="00BC6122">
      <w:pPr>
        <w:autoSpaceDE w:val="0"/>
        <w:autoSpaceDN w:val="0"/>
        <w:adjustRightInd w:val="0"/>
        <w:spacing w:after="40" w:line="240" w:lineRule="auto"/>
        <w:rPr>
          <w:rFonts w:ascii="Verdana" w:hAnsi="Verdana"/>
          <w:color w:val="000000"/>
          <w:sz w:val="20"/>
          <w:szCs w:val="20"/>
          <w:lang w:eastAsia="en-GB"/>
        </w:rPr>
      </w:pPr>
      <w:r>
        <w:rPr>
          <w:rFonts w:ascii="Verdana" w:hAnsi="Verdana"/>
          <w:noProof/>
          <w:color w:val="000000"/>
          <w:sz w:val="20"/>
          <w:szCs w:val="20"/>
          <w:lang w:eastAsia="en-GB"/>
        </w:rPr>
        <w:drawing>
          <wp:inline distT="0" distB="0" distL="0" distR="0">
            <wp:extent cx="9777730" cy="4414520"/>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1-16 at 16.35.33.png"/>
                    <pic:cNvPicPr/>
                  </pic:nvPicPr>
                  <pic:blipFill>
                    <a:blip r:embed="rId17">
                      <a:extLst>
                        <a:ext uri="{28A0092B-C50C-407E-A947-70E740481C1C}">
                          <a14:useLocalDpi xmlns:a14="http://schemas.microsoft.com/office/drawing/2010/main" val="0"/>
                        </a:ext>
                      </a:extLst>
                    </a:blip>
                    <a:stretch>
                      <a:fillRect/>
                    </a:stretch>
                  </pic:blipFill>
                  <pic:spPr>
                    <a:xfrm>
                      <a:off x="0" y="0"/>
                      <a:ext cx="9777730" cy="4414520"/>
                    </a:xfrm>
                    <a:prstGeom prst="rect">
                      <a:avLst/>
                    </a:prstGeom>
                  </pic:spPr>
                </pic:pic>
              </a:graphicData>
            </a:graphic>
          </wp:inline>
        </w:drawing>
      </w:r>
    </w:p>
    <w:sectPr w:rsidR="00CE2E56" w:rsidRPr="009E7371" w:rsidSect="00952AB4">
      <w:footerReference w:type="default" r:id="rId18"/>
      <w:footerReference w:type="first" r:id="rId1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B07" w:rsidRDefault="007A7B07" w:rsidP="00C349FE">
      <w:pPr>
        <w:spacing w:after="0" w:line="240" w:lineRule="auto"/>
      </w:pPr>
      <w:r>
        <w:separator/>
      </w:r>
    </w:p>
  </w:endnote>
  <w:endnote w:type="continuationSeparator" w:id="0">
    <w:p w:rsidR="007A7B07" w:rsidRDefault="007A7B07" w:rsidP="00C3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1B" w:rsidRDefault="00CE521B" w:rsidP="00BC6122">
    <w:pPr>
      <w:pStyle w:val="Footer"/>
      <w:spacing w:before="120"/>
      <w:jc w:val="both"/>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1270</wp:posOffset>
              </wp:positionV>
              <wp:extent cx="6524625" cy="0"/>
              <wp:effectExtent l="0" t="0" r="3175"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69729" id="_x0000_t32" coordsize="21600,21600" o:spt="32" o:oned="t" path="m,l21600,21600e" filled="f">
              <v:path arrowok="t" fillok="f" o:connecttype="none"/>
              <o:lock v:ext="edit" shapetype="t"/>
            </v:shapetype>
            <v:shape id="AutoShape 1" o:spid="_x0000_s1026" type="#_x0000_t32" style="position:absolute;margin-left:.6pt;margin-top:.1pt;width:51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">
              <o:lock v:ext="edit" shapetype="f"/>
            </v:shape>
          </w:pict>
        </mc:Fallback>
      </mc:AlternateContent>
    </w:r>
    <w:r>
      <w:t xml:space="preserve">                                                                                                                                                Page </w:t>
    </w:r>
    <w:r>
      <w:fldChar w:fldCharType="begin"/>
    </w:r>
    <w:r>
      <w:instrText xml:space="preserve"> PAGE   \* MERGEFORMAT </w:instrText>
    </w:r>
    <w:r>
      <w:fldChar w:fldCharType="separate"/>
    </w:r>
    <w:r>
      <w:rPr>
        <w:noProof/>
      </w:rPr>
      <w:t>1</w:t>
    </w:r>
    <w:r>
      <w:rPr>
        <w:noProof/>
      </w:rPr>
      <w:fldChar w:fldCharType="end"/>
    </w:r>
    <w:r>
      <w:rPr>
        <w:noProof/>
      </w:rPr>
      <w:t xml:space="preserve"> of 16</w:t>
    </w:r>
  </w:p>
  <w:p w:rsidR="00CE521B" w:rsidRDefault="00CE521B" w:rsidP="0003169E">
    <w:pPr>
      <w:pStyle w:val="Header"/>
    </w:pPr>
  </w:p>
  <w:p w:rsidR="00CE521B" w:rsidRDefault="00CE5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1B" w:rsidRDefault="00CE521B">
    <w:pPr>
      <w:pStyle w:val="Footer"/>
      <w:jc w:val="center"/>
    </w:pPr>
    <w:r>
      <w:t xml:space="preserve">Page </w:t>
    </w:r>
    <w:r>
      <w:fldChar w:fldCharType="begin"/>
    </w:r>
    <w:r>
      <w:instrText xml:space="preserve"> PAGE   \* MERGEFORMAT </w:instrText>
    </w:r>
    <w:r>
      <w:fldChar w:fldCharType="separate"/>
    </w:r>
    <w:r>
      <w:rPr>
        <w:noProof/>
      </w:rPr>
      <w:t>17</w:t>
    </w:r>
    <w:r>
      <w:fldChar w:fldCharType="end"/>
    </w:r>
    <w:r>
      <w:t xml:space="preserve"> of 16</w:t>
    </w:r>
  </w:p>
  <w:p w:rsidR="00CE521B" w:rsidRPr="006124A3" w:rsidRDefault="00CE521B" w:rsidP="00952AB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1B" w:rsidRDefault="00CE521B">
    <w:pPr>
      <w:pStyle w:val="Footer"/>
      <w:jc w:val="center"/>
    </w:pPr>
    <w:r>
      <w:t xml:space="preserve"> Page </w:t>
    </w:r>
    <w:r>
      <w:fldChar w:fldCharType="begin"/>
    </w:r>
    <w:r>
      <w:instrText xml:space="preserve"> PAGE   \* MERGEFORMAT </w:instrText>
    </w:r>
    <w:r>
      <w:fldChar w:fldCharType="separate"/>
    </w:r>
    <w:r>
      <w:rPr>
        <w:noProof/>
      </w:rPr>
      <w:t>15</w:t>
    </w:r>
    <w:r>
      <w:fldChar w:fldCharType="end"/>
    </w:r>
    <w:r>
      <w:t xml:space="preserve"> of 16</w:t>
    </w:r>
  </w:p>
  <w:p w:rsidR="00CE521B" w:rsidRDefault="00CE5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B07" w:rsidRDefault="007A7B07" w:rsidP="00C349FE">
      <w:pPr>
        <w:spacing w:after="0" w:line="240" w:lineRule="auto"/>
      </w:pPr>
      <w:r>
        <w:separator/>
      </w:r>
    </w:p>
  </w:footnote>
  <w:footnote w:type="continuationSeparator" w:id="0">
    <w:p w:rsidR="007A7B07" w:rsidRDefault="007A7B07" w:rsidP="00C349FE">
      <w:pPr>
        <w:spacing w:after="0" w:line="240" w:lineRule="auto"/>
      </w:pPr>
      <w:r>
        <w:continuationSeparator/>
      </w:r>
    </w:p>
  </w:footnote>
  <w:footnote w:id="1">
    <w:p w:rsidR="00CE521B" w:rsidRPr="005C0219" w:rsidRDefault="00CE521B" w:rsidP="002B1FD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1B" w:rsidRDefault="00CE521B" w:rsidP="00864E15">
    <w:pPr>
      <w:pStyle w:val="Header"/>
      <w:tabs>
        <w:tab w:val="left" w:pos="9525"/>
        <w:tab w:val="right" w:pos="1020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3A79C8"/>
    <w:multiLevelType w:val="hybridMultilevel"/>
    <w:tmpl w:val="9D7E58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F7E2CF"/>
    <w:multiLevelType w:val="hybridMultilevel"/>
    <w:tmpl w:val="99ECF6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737D0E"/>
    <w:multiLevelType w:val="hybridMultilevel"/>
    <w:tmpl w:val="65B72E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7D1BDF"/>
    <w:multiLevelType w:val="hybridMultilevel"/>
    <w:tmpl w:val="FE366A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9506EC"/>
    <w:multiLevelType w:val="hybridMultilevel"/>
    <w:tmpl w:val="69504A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A13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BE41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4C54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C172A6"/>
    <w:multiLevelType w:val="hybridMultilevel"/>
    <w:tmpl w:val="546044B2"/>
    <w:lvl w:ilvl="0" w:tplc="08090001">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BC131E"/>
    <w:multiLevelType w:val="hybridMultilevel"/>
    <w:tmpl w:val="12EC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50B74"/>
    <w:multiLevelType w:val="hybridMultilevel"/>
    <w:tmpl w:val="8E1F5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041398"/>
    <w:multiLevelType w:val="hybridMultilevel"/>
    <w:tmpl w:val="E1E8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D2F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474C57"/>
    <w:multiLevelType w:val="hybridMultilevel"/>
    <w:tmpl w:val="E3E6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F7450"/>
    <w:multiLevelType w:val="hybridMultilevel"/>
    <w:tmpl w:val="001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3B0DF4"/>
    <w:multiLevelType w:val="hybridMultilevel"/>
    <w:tmpl w:val="E3920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295B7A"/>
    <w:multiLevelType w:val="hybridMultilevel"/>
    <w:tmpl w:val="661C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CD2F9"/>
    <w:multiLevelType w:val="hybridMultilevel"/>
    <w:tmpl w:val="5E5E2A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3F3C40"/>
    <w:multiLevelType w:val="hybridMultilevel"/>
    <w:tmpl w:val="3E8CD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212F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2720C90"/>
    <w:multiLevelType w:val="hybridMultilevel"/>
    <w:tmpl w:val="6068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C4CAD"/>
    <w:multiLevelType w:val="hybridMultilevel"/>
    <w:tmpl w:val="B748DA7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C44D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512B1"/>
    <w:multiLevelType w:val="hybridMultilevel"/>
    <w:tmpl w:val="B9707AD8"/>
    <w:lvl w:ilvl="0" w:tplc="508A18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92BA0"/>
    <w:multiLevelType w:val="hybridMultilevel"/>
    <w:tmpl w:val="B080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C3F95"/>
    <w:multiLevelType w:val="hybridMultilevel"/>
    <w:tmpl w:val="EF7E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6164C"/>
    <w:multiLevelType w:val="hybridMultilevel"/>
    <w:tmpl w:val="1C1E10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61015"/>
    <w:multiLevelType w:val="hybridMultilevel"/>
    <w:tmpl w:val="6D38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377A1"/>
    <w:multiLevelType w:val="multilevel"/>
    <w:tmpl w:val="6338D6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B902A31"/>
    <w:multiLevelType w:val="hybridMultilevel"/>
    <w:tmpl w:val="CAA8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1D69FD"/>
    <w:multiLevelType w:val="hybridMultilevel"/>
    <w:tmpl w:val="2AF0B016"/>
    <w:lvl w:ilvl="0" w:tplc="C3BE0C10">
      <w:start w:val="1"/>
      <w:numFmt w:val="decimal"/>
      <w:lvlText w:val="%1."/>
      <w:lvlJc w:val="left"/>
      <w:pPr>
        <w:ind w:left="3196" w:hanging="360"/>
      </w:pPr>
      <w:rPr>
        <w:rFonts w:hint="default"/>
        <w:b/>
        <w:sz w:val="20"/>
        <w:szCs w:val="20"/>
      </w:rPr>
    </w:lvl>
    <w:lvl w:ilvl="1" w:tplc="A6F69DDE">
      <w:start w:val="1"/>
      <w:numFmt w:val="lowerLetter"/>
      <w:lvlText w:val="%2."/>
      <w:lvlJc w:val="left"/>
      <w:pPr>
        <w:ind w:left="1440" w:hanging="360"/>
      </w:pPr>
      <w:rPr>
        <w:b/>
      </w:rPr>
    </w:lvl>
    <w:lvl w:ilvl="2" w:tplc="00A65BB0">
      <w:start w:val="7"/>
      <w:numFmt w:val="decimal"/>
      <w:lvlText w:val="%3"/>
      <w:lvlJc w:val="left"/>
      <w:pPr>
        <w:ind w:left="2340" w:hanging="360"/>
      </w:pPr>
      <w:rPr>
        <w:rFonts w:hint="default"/>
        <w:b/>
        <w:sz w:val="3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5E24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A235DE"/>
    <w:multiLevelType w:val="hybridMultilevel"/>
    <w:tmpl w:val="7FA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F73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B906FF6"/>
    <w:multiLevelType w:val="hybridMultilevel"/>
    <w:tmpl w:val="524471A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E14BE"/>
    <w:multiLevelType w:val="hybridMultilevel"/>
    <w:tmpl w:val="DFFE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2341B"/>
    <w:multiLevelType w:val="hybridMultilevel"/>
    <w:tmpl w:val="3FCC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F21"/>
    <w:multiLevelType w:val="hybridMultilevel"/>
    <w:tmpl w:val="796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F5084"/>
    <w:multiLevelType w:val="hybridMultilevel"/>
    <w:tmpl w:val="206E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E106C"/>
    <w:multiLevelType w:val="hybridMultilevel"/>
    <w:tmpl w:val="05A070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17144E0"/>
    <w:multiLevelType w:val="hybridMultilevel"/>
    <w:tmpl w:val="B5669A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A2542"/>
    <w:multiLevelType w:val="hybridMultilevel"/>
    <w:tmpl w:val="0048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76C77"/>
    <w:multiLevelType w:val="multilevel"/>
    <w:tmpl w:val="B5669A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28"/>
  </w:num>
  <w:num w:numId="3">
    <w:abstractNumId w:val="40"/>
  </w:num>
  <w:num w:numId="4">
    <w:abstractNumId w:val="42"/>
  </w:num>
  <w:num w:numId="5">
    <w:abstractNumId w:val="14"/>
  </w:num>
  <w:num w:numId="6">
    <w:abstractNumId w:val="15"/>
  </w:num>
  <w:num w:numId="7">
    <w:abstractNumId w:val="24"/>
  </w:num>
  <w:num w:numId="8">
    <w:abstractNumId w:val="20"/>
  </w:num>
  <w:num w:numId="9">
    <w:abstractNumId w:val="27"/>
  </w:num>
  <w:num w:numId="10">
    <w:abstractNumId w:val="26"/>
  </w:num>
  <w:num w:numId="11">
    <w:abstractNumId w:val="18"/>
  </w:num>
  <w:num w:numId="12">
    <w:abstractNumId w:val="21"/>
  </w:num>
  <w:num w:numId="13">
    <w:abstractNumId w:val="29"/>
  </w:num>
  <w:num w:numId="14">
    <w:abstractNumId w:val="8"/>
  </w:num>
  <w:num w:numId="15">
    <w:abstractNumId w:val="30"/>
  </w:num>
  <w:num w:numId="16">
    <w:abstractNumId w:val="6"/>
  </w:num>
  <w:num w:numId="17">
    <w:abstractNumId w:val="19"/>
  </w:num>
  <w:num w:numId="18">
    <w:abstractNumId w:val="7"/>
  </w:num>
  <w:num w:numId="19">
    <w:abstractNumId w:val="12"/>
  </w:num>
  <w:num w:numId="20">
    <w:abstractNumId w:val="31"/>
  </w:num>
  <w:num w:numId="21">
    <w:abstractNumId w:val="5"/>
  </w:num>
  <w:num w:numId="22">
    <w:abstractNumId w:val="22"/>
  </w:num>
  <w:num w:numId="23">
    <w:abstractNumId w:val="33"/>
  </w:num>
  <w:num w:numId="24">
    <w:abstractNumId w:val="17"/>
  </w:num>
  <w:num w:numId="25">
    <w:abstractNumId w:val="11"/>
  </w:num>
  <w:num w:numId="26">
    <w:abstractNumId w:val="25"/>
  </w:num>
  <w:num w:numId="27">
    <w:abstractNumId w:val="10"/>
  </w:num>
  <w:num w:numId="28">
    <w:abstractNumId w:val="1"/>
  </w:num>
  <w:num w:numId="29">
    <w:abstractNumId w:val="4"/>
  </w:num>
  <w:num w:numId="30">
    <w:abstractNumId w:val="2"/>
  </w:num>
  <w:num w:numId="31">
    <w:abstractNumId w:val="16"/>
  </w:num>
  <w:num w:numId="32">
    <w:abstractNumId w:val="38"/>
  </w:num>
  <w:num w:numId="33">
    <w:abstractNumId w:val="35"/>
  </w:num>
  <w:num w:numId="34">
    <w:abstractNumId w:val="9"/>
  </w:num>
  <w:num w:numId="35">
    <w:abstractNumId w:val="39"/>
  </w:num>
  <w:num w:numId="36">
    <w:abstractNumId w:val="13"/>
  </w:num>
  <w:num w:numId="37">
    <w:abstractNumId w:val="34"/>
  </w:num>
  <w:num w:numId="38">
    <w:abstractNumId w:val="3"/>
  </w:num>
  <w:num w:numId="39">
    <w:abstractNumId w:val="32"/>
  </w:num>
  <w:num w:numId="40">
    <w:abstractNumId w:val="41"/>
  </w:num>
  <w:num w:numId="41">
    <w:abstractNumId w:val="37"/>
  </w:num>
  <w:num w:numId="42">
    <w:abstractNumId w:val="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CE"/>
    <w:rsid w:val="0000213D"/>
    <w:rsid w:val="00002BD6"/>
    <w:rsid w:val="000056A3"/>
    <w:rsid w:val="000179BA"/>
    <w:rsid w:val="00024762"/>
    <w:rsid w:val="00025CC6"/>
    <w:rsid w:val="0003169E"/>
    <w:rsid w:val="00037486"/>
    <w:rsid w:val="00040686"/>
    <w:rsid w:val="000505A3"/>
    <w:rsid w:val="00056CB8"/>
    <w:rsid w:val="00061071"/>
    <w:rsid w:val="000662C1"/>
    <w:rsid w:val="00067D03"/>
    <w:rsid w:val="00081B01"/>
    <w:rsid w:val="00086742"/>
    <w:rsid w:val="000906D1"/>
    <w:rsid w:val="00094875"/>
    <w:rsid w:val="000A0EED"/>
    <w:rsid w:val="000A4229"/>
    <w:rsid w:val="000B0121"/>
    <w:rsid w:val="000C00DE"/>
    <w:rsid w:val="000D54C5"/>
    <w:rsid w:val="000E6498"/>
    <w:rsid w:val="000F3A5C"/>
    <w:rsid w:val="00112CB3"/>
    <w:rsid w:val="00127DDA"/>
    <w:rsid w:val="00130B77"/>
    <w:rsid w:val="00143C5A"/>
    <w:rsid w:val="00157AF5"/>
    <w:rsid w:val="00157B08"/>
    <w:rsid w:val="00162317"/>
    <w:rsid w:val="001651B7"/>
    <w:rsid w:val="001664DA"/>
    <w:rsid w:val="001742CA"/>
    <w:rsid w:val="00191F69"/>
    <w:rsid w:val="001970A2"/>
    <w:rsid w:val="001A0F99"/>
    <w:rsid w:val="001B7548"/>
    <w:rsid w:val="001D04CF"/>
    <w:rsid w:val="001D04D1"/>
    <w:rsid w:val="001E1B25"/>
    <w:rsid w:val="001E4AA7"/>
    <w:rsid w:val="002006BA"/>
    <w:rsid w:val="0020147D"/>
    <w:rsid w:val="00203C49"/>
    <w:rsid w:val="00204EF9"/>
    <w:rsid w:val="00206BFF"/>
    <w:rsid w:val="0023098C"/>
    <w:rsid w:val="002367F2"/>
    <w:rsid w:val="00254F59"/>
    <w:rsid w:val="002557ED"/>
    <w:rsid w:val="00294B64"/>
    <w:rsid w:val="00294FA1"/>
    <w:rsid w:val="002A1643"/>
    <w:rsid w:val="002A55CA"/>
    <w:rsid w:val="002B1FDD"/>
    <w:rsid w:val="002B3D07"/>
    <w:rsid w:val="002B62B1"/>
    <w:rsid w:val="002C51CD"/>
    <w:rsid w:val="002E7742"/>
    <w:rsid w:val="003035F9"/>
    <w:rsid w:val="00313F37"/>
    <w:rsid w:val="00315B05"/>
    <w:rsid w:val="00322803"/>
    <w:rsid w:val="00346A5C"/>
    <w:rsid w:val="003632BD"/>
    <w:rsid w:val="003727DE"/>
    <w:rsid w:val="0038310D"/>
    <w:rsid w:val="00385E60"/>
    <w:rsid w:val="003A0022"/>
    <w:rsid w:val="003A767A"/>
    <w:rsid w:val="003B31D9"/>
    <w:rsid w:val="003C0C30"/>
    <w:rsid w:val="003D25F9"/>
    <w:rsid w:val="003D7724"/>
    <w:rsid w:val="00401419"/>
    <w:rsid w:val="00404FCD"/>
    <w:rsid w:val="0041614C"/>
    <w:rsid w:val="00420E28"/>
    <w:rsid w:val="004212E9"/>
    <w:rsid w:val="00421609"/>
    <w:rsid w:val="00461AB6"/>
    <w:rsid w:val="00462D9D"/>
    <w:rsid w:val="00472FDD"/>
    <w:rsid w:val="00474450"/>
    <w:rsid w:val="00494C5F"/>
    <w:rsid w:val="00501178"/>
    <w:rsid w:val="00511092"/>
    <w:rsid w:val="00515275"/>
    <w:rsid w:val="0052510C"/>
    <w:rsid w:val="00550E15"/>
    <w:rsid w:val="005550AD"/>
    <w:rsid w:val="00557C59"/>
    <w:rsid w:val="00560507"/>
    <w:rsid w:val="00561236"/>
    <w:rsid w:val="00565506"/>
    <w:rsid w:val="00584633"/>
    <w:rsid w:val="005C096F"/>
    <w:rsid w:val="005C48FB"/>
    <w:rsid w:val="005D2F0B"/>
    <w:rsid w:val="005D78C2"/>
    <w:rsid w:val="005F3446"/>
    <w:rsid w:val="0062314D"/>
    <w:rsid w:val="006343C5"/>
    <w:rsid w:val="00635CA8"/>
    <w:rsid w:val="00635FDD"/>
    <w:rsid w:val="00641902"/>
    <w:rsid w:val="00650D1A"/>
    <w:rsid w:val="00665006"/>
    <w:rsid w:val="00676FB6"/>
    <w:rsid w:val="00685BE0"/>
    <w:rsid w:val="006A6516"/>
    <w:rsid w:val="006B2D80"/>
    <w:rsid w:val="006B2FC0"/>
    <w:rsid w:val="006C6796"/>
    <w:rsid w:val="006D01D0"/>
    <w:rsid w:val="006D0D5B"/>
    <w:rsid w:val="006E29B7"/>
    <w:rsid w:val="00711F0C"/>
    <w:rsid w:val="007135CE"/>
    <w:rsid w:val="0077279D"/>
    <w:rsid w:val="00790BF9"/>
    <w:rsid w:val="00793313"/>
    <w:rsid w:val="007A4633"/>
    <w:rsid w:val="007A7B07"/>
    <w:rsid w:val="007B689A"/>
    <w:rsid w:val="007C4345"/>
    <w:rsid w:val="007D4FCD"/>
    <w:rsid w:val="007F2807"/>
    <w:rsid w:val="007F6D5F"/>
    <w:rsid w:val="00803C9C"/>
    <w:rsid w:val="00806847"/>
    <w:rsid w:val="0081507A"/>
    <w:rsid w:val="008209E8"/>
    <w:rsid w:val="00820C22"/>
    <w:rsid w:val="0082359F"/>
    <w:rsid w:val="0082719C"/>
    <w:rsid w:val="008325CE"/>
    <w:rsid w:val="0084223F"/>
    <w:rsid w:val="00842EE3"/>
    <w:rsid w:val="008463CD"/>
    <w:rsid w:val="008607B3"/>
    <w:rsid w:val="00864E15"/>
    <w:rsid w:val="00870660"/>
    <w:rsid w:val="00873366"/>
    <w:rsid w:val="00873F40"/>
    <w:rsid w:val="008A1937"/>
    <w:rsid w:val="008A610F"/>
    <w:rsid w:val="008D072C"/>
    <w:rsid w:val="008D221B"/>
    <w:rsid w:val="008D3D22"/>
    <w:rsid w:val="009130CF"/>
    <w:rsid w:val="0091477B"/>
    <w:rsid w:val="00923338"/>
    <w:rsid w:val="0092611F"/>
    <w:rsid w:val="00934013"/>
    <w:rsid w:val="00945B03"/>
    <w:rsid w:val="00946166"/>
    <w:rsid w:val="00952AB4"/>
    <w:rsid w:val="0096274E"/>
    <w:rsid w:val="00963CFA"/>
    <w:rsid w:val="009753FF"/>
    <w:rsid w:val="00984C68"/>
    <w:rsid w:val="009866ED"/>
    <w:rsid w:val="009939C1"/>
    <w:rsid w:val="009A1108"/>
    <w:rsid w:val="009A56DE"/>
    <w:rsid w:val="009C32DC"/>
    <w:rsid w:val="009D4259"/>
    <w:rsid w:val="009D4BCC"/>
    <w:rsid w:val="009D523C"/>
    <w:rsid w:val="009D5BAF"/>
    <w:rsid w:val="009D6B0B"/>
    <w:rsid w:val="009D73EF"/>
    <w:rsid w:val="009E7371"/>
    <w:rsid w:val="00A04C38"/>
    <w:rsid w:val="00A079B8"/>
    <w:rsid w:val="00A1410C"/>
    <w:rsid w:val="00A162D7"/>
    <w:rsid w:val="00A20008"/>
    <w:rsid w:val="00A23433"/>
    <w:rsid w:val="00A701A4"/>
    <w:rsid w:val="00A742C9"/>
    <w:rsid w:val="00A759DB"/>
    <w:rsid w:val="00A86FB5"/>
    <w:rsid w:val="00A96CC8"/>
    <w:rsid w:val="00AA5120"/>
    <w:rsid w:val="00AB1AC0"/>
    <w:rsid w:val="00AC2591"/>
    <w:rsid w:val="00AC371E"/>
    <w:rsid w:val="00AC66A3"/>
    <w:rsid w:val="00AD753B"/>
    <w:rsid w:val="00B11FD1"/>
    <w:rsid w:val="00B27816"/>
    <w:rsid w:val="00B40C3E"/>
    <w:rsid w:val="00B43290"/>
    <w:rsid w:val="00B55506"/>
    <w:rsid w:val="00B908BE"/>
    <w:rsid w:val="00B93A79"/>
    <w:rsid w:val="00BC3429"/>
    <w:rsid w:val="00BC43DF"/>
    <w:rsid w:val="00BC6122"/>
    <w:rsid w:val="00BD5E08"/>
    <w:rsid w:val="00BE1721"/>
    <w:rsid w:val="00BF593A"/>
    <w:rsid w:val="00C174F4"/>
    <w:rsid w:val="00C349FE"/>
    <w:rsid w:val="00C35205"/>
    <w:rsid w:val="00C439B6"/>
    <w:rsid w:val="00C47B3C"/>
    <w:rsid w:val="00C47FFA"/>
    <w:rsid w:val="00C50D36"/>
    <w:rsid w:val="00C53563"/>
    <w:rsid w:val="00C66FA0"/>
    <w:rsid w:val="00C84390"/>
    <w:rsid w:val="00C91BDB"/>
    <w:rsid w:val="00C968E1"/>
    <w:rsid w:val="00CA3705"/>
    <w:rsid w:val="00CA3A4F"/>
    <w:rsid w:val="00CB5EAF"/>
    <w:rsid w:val="00CD3DB5"/>
    <w:rsid w:val="00CE0790"/>
    <w:rsid w:val="00CE2E56"/>
    <w:rsid w:val="00CE4E01"/>
    <w:rsid w:val="00CE521B"/>
    <w:rsid w:val="00CF1712"/>
    <w:rsid w:val="00CF75E2"/>
    <w:rsid w:val="00D16338"/>
    <w:rsid w:val="00D20E52"/>
    <w:rsid w:val="00D2491D"/>
    <w:rsid w:val="00D4107D"/>
    <w:rsid w:val="00D415DA"/>
    <w:rsid w:val="00D41B39"/>
    <w:rsid w:val="00D44D5F"/>
    <w:rsid w:val="00D52243"/>
    <w:rsid w:val="00D52A42"/>
    <w:rsid w:val="00D55C3A"/>
    <w:rsid w:val="00D91F23"/>
    <w:rsid w:val="00DA1637"/>
    <w:rsid w:val="00DB7012"/>
    <w:rsid w:val="00DC2C4B"/>
    <w:rsid w:val="00DC5C99"/>
    <w:rsid w:val="00DC682E"/>
    <w:rsid w:val="00DD7849"/>
    <w:rsid w:val="00DF0666"/>
    <w:rsid w:val="00DF6ECA"/>
    <w:rsid w:val="00E10238"/>
    <w:rsid w:val="00E40108"/>
    <w:rsid w:val="00E52E79"/>
    <w:rsid w:val="00E5756C"/>
    <w:rsid w:val="00E63D5A"/>
    <w:rsid w:val="00E76EA1"/>
    <w:rsid w:val="00E8404E"/>
    <w:rsid w:val="00E924F9"/>
    <w:rsid w:val="00EC1602"/>
    <w:rsid w:val="00EC23FC"/>
    <w:rsid w:val="00EC64D4"/>
    <w:rsid w:val="00ED5AA7"/>
    <w:rsid w:val="00EE2AEA"/>
    <w:rsid w:val="00EE36C1"/>
    <w:rsid w:val="00EE43FA"/>
    <w:rsid w:val="00EE69BC"/>
    <w:rsid w:val="00F02759"/>
    <w:rsid w:val="00F27373"/>
    <w:rsid w:val="00F50E34"/>
    <w:rsid w:val="00F536F3"/>
    <w:rsid w:val="00FA5A66"/>
    <w:rsid w:val="00FC3AB8"/>
    <w:rsid w:val="00FE4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01255"/>
  <w15:chartTrackingRefBased/>
  <w15:docId w15:val="{5A84DD06-14B9-9247-9331-DD4128F4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A23433"/>
    <w:pPr>
      <w:spacing w:after="200" w:line="276" w:lineRule="auto"/>
    </w:pPr>
    <w:rPr>
      <w:sz w:val="22"/>
      <w:szCs w:val="22"/>
    </w:rPr>
  </w:style>
  <w:style w:type="paragraph" w:styleId="Heading1">
    <w:name w:val="heading 1"/>
    <w:basedOn w:val="Normal"/>
    <w:link w:val="Heading1Char"/>
    <w:qFormat/>
    <w:rsid w:val="002B1FDD"/>
    <w:pPr>
      <w:spacing w:before="100" w:beforeAutospacing="1" w:after="100" w:afterAutospacing="1" w:line="240" w:lineRule="auto"/>
      <w:outlineLvl w:val="0"/>
    </w:pPr>
    <w:rPr>
      <w:rFonts w:ascii="Times New Roman" w:eastAsia="SimSun" w:hAnsi="Times New Roman"/>
      <w:b/>
      <w:bCs/>
      <w:color w:val="333333"/>
      <w:kern w:val="36"/>
      <w:sz w:val="29"/>
      <w:szCs w:val="29"/>
      <w:lang w:eastAsia="zh-CN"/>
    </w:rPr>
  </w:style>
  <w:style w:type="paragraph" w:styleId="Heading5">
    <w:name w:val="heading 5"/>
    <w:basedOn w:val="Normal"/>
    <w:next w:val="Normal"/>
    <w:link w:val="Heading5Char"/>
    <w:uiPriority w:val="9"/>
    <w:qFormat/>
    <w:rsid w:val="002B1FDD"/>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qFormat/>
    <w:rsid w:val="002B1FDD"/>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7135CE"/>
    <w:rPr>
      <w:sz w:val="22"/>
      <w:szCs w:val="22"/>
    </w:rPr>
  </w:style>
  <w:style w:type="character" w:customStyle="1" w:styleId="apple-converted-space">
    <w:name w:val="apple-converted-space"/>
    <w:basedOn w:val="DefaultParagraphFont"/>
    <w:rsid w:val="007135CE"/>
  </w:style>
  <w:style w:type="character" w:styleId="Strong">
    <w:name w:val="Strong"/>
    <w:uiPriority w:val="22"/>
    <w:qFormat/>
    <w:rsid w:val="007135CE"/>
    <w:rPr>
      <w:b/>
      <w:bCs/>
    </w:rPr>
  </w:style>
  <w:style w:type="character" w:styleId="Hyperlink">
    <w:name w:val="Hyperlink"/>
    <w:uiPriority w:val="99"/>
    <w:unhideWhenUsed/>
    <w:rsid w:val="00BF593A"/>
    <w:rPr>
      <w:color w:val="0000FF"/>
      <w:u w:val="single"/>
    </w:rPr>
  </w:style>
  <w:style w:type="paragraph" w:styleId="BalloonText">
    <w:name w:val="Balloon Text"/>
    <w:basedOn w:val="Normal"/>
    <w:link w:val="BalloonTextChar"/>
    <w:uiPriority w:val="99"/>
    <w:semiHidden/>
    <w:unhideWhenUsed/>
    <w:rsid w:val="002006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6BA"/>
    <w:rPr>
      <w:rFonts w:ascii="Tahoma" w:hAnsi="Tahoma" w:cs="Tahoma"/>
      <w:sz w:val="16"/>
      <w:szCs w:val="16"/>
    </w:rPr>
  </w:style>
  <w:style w:type="paragraph" w:styleId="NormalWeb">
    <w:name w:val="Normal (Web)"/>
    <w:basedOn w:val="Normal"/>
    <w:unhideWhenUsed/>
    <w:rsid w:val="00A2343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olorfulList-Accent11">
    <w:name w:val="Colorful List - Accent 11"/>
    <w:basedOn w:val="Normal"/>
    <w:link w:val="ColorfulList-Accent1Char"/>
    <w:uiPriority w:val="34"/>
    <w:qFormat/>
    <w:rsid w:val="00A23433"/>
    <w:pPr>
      <w:ind w:left="720"/>
      <w:contextualSpacing/>
    </w:pPr>
  </w:style>
  <w:style w:type="paragraph" w:customStyle="1" w:styleId="Default">
    <w:name w:val="Default"/>
    <w:rsid w:val="009866ED"/>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34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9FE"/>
  </w:style>
  <w:style w:type="paragraph" w:styleId="Footer">
    <w:name w:val="footer"/>
    <w:basedOn w:val="Normal"/>
    <w:link w:val="FooterChar"/>
    <w:uiPriority w:val="99"/>
    <w:unhideWhenUsed/>
    <w:rsid w:val="00C34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9FE"/>
  </w:style>
  <w:style w:type="table" w:styleId="TableGrid">
    <w:name w:val="Table Grid"/>
    <w:basedOn w:val="TableNormal"/>
    <w:uiPriority w:val="39"/>
    <w:rsid w:val="00C3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B1FDD"/>
    <w:rPr>
      <w:rFonts w:ascii="Times New Roman" w:eastAsia="SimSun" w:hAnsi="Times New Roman"/>
      <w:b/>
      <w:bCs/>
      <w:color w:val="333333"/>
      <w:kern w:val="36"/>
      <w:sz w:val="29"/>
      <w:szCs w:val="29"/>
      <w:lang w:eastAsia="zh-CN"/>
    </w:rPr>
  </w:style>
  <w:style w:type="character" w:customStyle="1" w:styleId="ColorfulList-Accent1Char">
    <w:name w:val="Colorful List - Accent 1 Char"/>
    <w:link w:val="ColorfulList-Accent11"/>
    <w:uiPriority w:val="34"/>
    <w:rsid w:val="002B1FDD"/>
    <w:rPr>
      <w:sz w:val="22"/>
      <w:szCs w:val="22"/>
      <w:lang w:eastAsia="en-US"/>
    </w:rPr>
  </w:style>
  <w:style w:type="character" w:customStyle="1" w:styleId="Heading5Char">
    <w:name w:val="Heading 5 Char"/>
    <w:link w:val="Heading5"/>
    <w:uiPriority w:val="9"/>
    <w:semiHidden/>
    <w:rsid w:val="002B1FDD"/>
    <w:rPr>
      <w:rFonts w:eastAsia="Times New Roman"/>
      <w:b/>
      <w:bCs/>
      <w:i/>
      <w:iCs/>
      <w:sz w:val="26"/>
      <w:szCs w:val="26"/>
      <w:lang w:eastAsia="en-US"/>
    </w:rPr>
  </w:style>
  <w:style w:type="character" w:customStyle="1" w:styleId="Heading7Char">
    <w:name w:val="Heading 7 Char"/>
    <w:link w:val="Heading7"/>
    <w:uiPriority w:val="9"/>
    <w:semiHidden/>
    <w:rsid w:val="002B1FDD"/>
    <w:rPr>
      <w:rFonts w:eastAsia="Times New Roman"/>
      <w:sz w:val="24"/>
      <w:szCs w:val="24"/>
      <w:lang w:eastAsia="en-US"/>
    </w:rPr>
  </w:style>
  <w:style w:type="paragraph" w:styleId="BodyText2">
    <w:name w:val="Body Text 2"/>
    <w:basedOn w:val="Normal"/>
    <w:link w:val="BodyText2Char"/>
    <w:rsid w:val="002B1FDD"/>
    <w:pPr>
      <w:spacing w:after="0" w:line="240" w:lineRule="auto"/>
    </w:pPr>
    <w:rPr>
      <w:rFonts w:ascii="Sabon" w:eastAsia="Times New Roman" w:hAnsi="Sabon"/>
      <w:color w:val="000000"/>
      <w:sz w:val="20"/>
      <w:szCs w:val="20"/>
    </w:rPr>
  </w:style>
  <w:style w:type="character" w:customStyle="1" w:styleId="BodyText2Char">
    <w:name w:val="Body Text 2 Char"/>
    <w:link w:val="BodyText2"/>
    <w:rsid w:val="002B1FDD"/>
    <w:rPr>
      <w:rFonts w:ascii="Sabon" w:eastAsia="Times New Roman" w:hAnsi="Sabon"/>
      <w:color w:val="000000"/>
      <w:lang w:eastAsia="en-US"/>
    </w:rPr>
  </w:style>
  <w:style w:type="paragraph" w:styleId="FootnoteText">
    <w:name w:val="footnote text"/>
    <w:basedOn w:val="Normal"/>
    <w:link w:val="FootnoteTextChar"/>
    <w:rsid w:val="002B1FD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2B1FDD"/>
    <w:rPr>
      <w:rFonts w:ascii="Times New Roman" w:eastAsia="Times New Roman" w:hAnsi="Times New Roman"/>
      <w:lang w:eastAsia="en-US"/>
    </w:rPr>
  </w:style>
  <w:style w:type="character" w:styleId="FootnoteReference">
    <w:name w:val="footnote reference"/>
    <w:rsid w:val="002B1FDD"/>
    <w:rPr>
      <w:vertAlign w:val="superscript"/>
    </w:rPr>
  </w:style>
  <w:style w:type="character" w:styleId="FollowedHyperlink">
    <w:name w:val="FollowedHyperlink"/>
    <w:uiPriority w:val="99"/>
    <w:semiHidden/>
    <w:unhideWhenUsed/>
    <w:rsid w:val="00E924F9"/>
    <w:rPr>
      <w:color w:val="800080"/>
      <w:u w:val="single"/>
    </w:rPr>
  </w:style>
  <w:style w:type="paragraph" w:styleId="Revision">
    <w:name w:val="Revision"/>
    <w:hidden/>
    <w:uiPriority w:val="71"/>
    <w:rsid w:val="0051109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56597">
      <w:bodyDiv w:val="1"/>
      <w:marLeft w:val="0"/>
      <w:marRight w:val="0"/>
      <w:marTop w:val="0"/>
      <w:marBottom w:val="0"/>
      <w:divBdr>
        <w:top w:val="none" w:sz="0" w:space="0" w:color="auto"/>
        <w:left w:val="none" w:sz="0" w:space="0" w:color="auto"/>
        <w:bottom w:val="none" w:sz="0" w:space="0" w:color="auto"/>
        <w:right w:val="none" w:sz="0" w:space="0" w:color="auto"/>
      </w:divBdr>
    </w:div>
    <w:div w:id="1334986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tif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41BBD9945154DAF9700684E3173FE" ma:contentTypeVersion="3" ma:contentTypeDescription="Create a new document." ma:contentTypeScope="" ma:versionID="de3a5dc7886500b1bc96dd1a2590631b">
  <xsd:schema xmlns:xsd="http://www.w3.org/2001/XMLSchema" xmlns:xs="http://www.w3.org/2001/XMLSchema" xmlns:p="http://schemas.microsoft.com/office/2006/metadata/properties" targetNamespace="http://schemas.microsoft.com/office/2006/metadata/properties" ma:root="true" ma:fieldsID="21e44542bbe3bcc3fa8036ff7db9a2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CEFD-01FA-472A-A1B1-F66795C0D1B2}">
  <ds:schemaRefs>
    <ds:schemaRef ds:uri="http://schemas.microsoft.com/sharepoint/v3/contenttype/forms"/>
  </ds:schemaRefs>
</ds:datastoreItem>
</file>

<file path=customXml/itemProps2.xml><?xml version="1.0" encoding="utf-8"?>
<ds:datastoreItem xmlns:ds="http://schemas.openxmlformats.org/officeDocument/2006/customXml" ds:itemID="{7DEC69E2-8A43-4623-94CF-F6179930B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39F525-9908-9147-AFC6-33432A96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5017</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Michael Pickup [stp]</dc:creator>
  <cp:keywords/>
  <cp:lastModifiedBy>Sarah Taylor [srt] (Staff)</cp:lastModifiedBy>
  <cp:revision>3</cp:revision>
  <cp:lastPrinted>2019-09-03T09:50:00Z</cp:lastPrinted>
  <dcterms:created xsi:type="dcterms:W3CDTF">2021-06-02T11:03:00Z</dcterms:created>
  <dcterms:modified xsi:type="dcterms:W3CDTF">2021-06-02T11:04:00Z</dcterms:modified>
</cp:coreProperties>
</file>