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73513" w14:textId="7A960E81" w:rsidR="004D607D" w:rsidRPr="00164654" w:rsidRDefault="004D607D" w:rsidP="004D607D">
      <w:pPr>
        <w:rPr>
          <w:rFonts w:cs="Arial"/>
          <w:b/>
        </w:rPr>
      </w:pPr>
      <w:bookmarkStart w:id="0" w:name="_GoBack"/>
      <w:bookmarkEnd w:id="0"/>
      <w:r w:rsidRPr="00164654">
        <w:rPr>
          <w:rFonts w:cs="Arial"/>
          <w:b/>
        </w:rPr>
        <w:t>Aberystwyth University - Risk Appetite Matrix</w:t>
      </w:r>
      <w:r>
        <w:rPr>
          <w:rFonts w:cs="Arial"/>
          <w:b/>
        </w:rPr>
        <w:t xml:space="preserve"> – To be approved at a Meeting of the Aberystwyth University Council </w:t>
      </w:r>
      <w:r w:rsidR="00B76CC0">
        <w:rPr>
          <w:rFonts w:cs="Arial"/>
          <w:b/>
        </w:rPr>
        <w:t>November 2020</w:t>
      </w:r>
      <w:r>
        <w:rPr>
          <w:rFonts w:cs="Arial"/>
          <w:b/>
        </w:rPr>
        <w:tab/>
      </w:r>
    </w:p>
    <w:p w14:paraId="75BBE6DA" w14:textId="77777777" w:rsidR="004D607D" w:rsidRPr="00164654" w:rsidRDefault="004D607D" w:rsidP="004D607D">
      <w:pPr>
        <w:rPr>
          <w:rFonts w:cs="Arial"/>
          <w:i/>
          <w:color w:val="FF0000"/>
          <w:sz w:val="20"/>
          <w:szCs w:val="20"/>
        </w:rPr>
      </w:pPr>
      <w:r w:rsidRPr="00164654">
        <w:rPr>
          <w:rFonts w:cs="Arial"/>
          <w:sz w:val="20"/>
          <w:szCs w:val="20"/>
        </w:rPr>
        <w:t>This matrix should be used as guidance for assessing risk appetite in conjunction with the Risk Appetite Statement (available at</w:t>
      </w:r>
      <w:r>
        <w:rPr>
          <w:rFonts w:cs="Arial"/>
          <w:sz w:val="20"/>
          <w:szCs w:val="20"/>
        </w:rPr>
        <w:t xml:space="preserve"> </w:t>
      </w:r>
      <w:hyperlink r:id="rId10" w:history="1">
        <w:r w:rsidRPr="00DC4EE5">
          <w:rPr>
            <w:rStyle w:val="Hyperlink"/>
            <w:rFonts w:cs="Arial"/>
            <w:sz w:val="20"/>
            <w:szCs w:val="20"/>
          </w:rPr>
          <w:t>http://www.aber.ac.uk/en/pgbi/general-info/risk-management/</w:t>
        </w:r>
      </w:hyperlink>
      <w:r>
        <w:rPr>
          <w:rFonts w:cs="Arial"/>
          <w:sz w:val="20"/>
          <w:szCs w:val="20"/>
        </w:rPr>
        <w:t xml:space="preserve">  </w:t>
      </w:r>
      <w:r w:rsidRPr="00164654">
        <w:rPr>
          <w:rFonts w:cs="Arial"/>
          <w:sz w:val="20"/>
          <w:szCs w:val="20"/>
        </w:rPr>
        <w:t>).   Any high level strategic risks should be referred to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5528"/>
        <w:gridCol w:w="4678"/>
      </w:tblGrid>
      <w:tr w:rsidR="004D607D" w:rsidRPr="00164654" w14:paraId="304B0156" w14:textId="77777777" w:rsidTr="00EA1B82">
        <w:tc>
          <w:tcPr>
            <w:tcW w:w="2518" w:type="dxa"/>
          </w:tcPr>
          <w:p w14:paraId="449427F0" w14:textId="77777777" w:rsidR="004D607D" w:rsidRPr="00164654" w:rsidRDefault="004D607D" w:rsidP="00EA1B82">
            <w:pPr>
              <w:rPr>
                <w:rFonts w:cs="Arial"/>
                <w:b/>
                <w:sz w:val="20"/>
                <w:szCs w:val="20"/>
              </w:rPr>
            </w:pPr>
            <w:r w:rsidRPr="00164654">
              <w:rPr>
                <w:rFonts w:cs="Arial"/>
                <w:b/>
                <w:sz w:val="20"/>
                <w:szCs w:val="20"/>
              </w:rPr>
              <w:t>Risk Appetite</w:t>
            </w:r>
          </w:p>
        </w:tc>
        <w:tc>
          <w:tcPr>
            <w:tcW w:w="2552" w:type="dxa"/>
          </w:tcPr>
          <w:p w14:paraId="02CD0E03" w14:textId="77777777" w:rsidR="004D607D" w:rsidRPr="00164654" w:rsidRDefault="004D607D" w:rsidP="00EA1B82">
            <w:pPr>
              <w:rPr>
                <w:rFonts w:cs="Arial"/>
                <w:b/>
                <w:sz w:val="20"/>
                <w:szCs w:val="20"/>
              </w:rPr>
            </w:pPr>
            <w:r w:rsidRPr="00164654">
              <w:rPr>
                <w:rFonts w:cs="Arial"/>
                <w:b/>
                <w:sz w:val="20"/>
                <w:szCs w:val="20"/>
              </w:rPr>
              <w:t>Example Risk Areas</w:t>
            </w:r>
          </w:p>
          <w:p w14:paraId="0F9F4B2E" w14:textId="77777777" w:rsidR="004D607D" w:rsidRPr="004D607D" w:rsidRDefault="004D607D" w:rsidP="00EA1B82">
            <w:pPr>
              <w:rPr>
                <w:rFonts w:cs="Arial"/>
                <w:sz w:val="18"/>
                <w:szCs w:val="18"/>
              </w:rPr>
            </w:pPr>
            <w:r w:rsidRPr="00F739C3">
              <w:rPr>
                <w:rFonts w:cs="Arial"/>
                <w:sz w:val="18"/>
                <w:szCs w:val="18"/>
              </w:rPr>
              <w:t>(May be subject to change)</w:t>
            </w:r>
          </w:p>
        </w:tc>
        <w:tc>
          <w:tcPr>
            <w:tcW w:w="5528" w:type="dxa"/>
          </w:tcPr>
          <w:p w14:paraId="6D13DF21" w14:textId="77777777" w:rsidR="004D607D" w:rsidRPr="00164654" w:rsidRDefault="004D607D" w:rsidP="00EA1B82">
            <w:pPr>
              <w:rPr>
                <w:rFonts w:cs="Arial"/>
                <w:b/>
                <w:sz w:val="20"/>
                <w:szCs w:val="20"/>
              </w:rPr>
            </w:pPr>
            <w:r w:rsidRPr="00164654">
              <w:rPr>
                <w:rFonts w:cs="Arial"/>
                <w:b/>
                <w:sz w:val="20"/>
                <w:szCs w:val="20"/>
              </w:rPr>
              <w:t>Potential Impact</w:t>
            </w:r>
          </w:p>
          <w:p w14:paraId="2E63E768" w14:textId="77777777" w:rsidR="004D607D" w:rsidRPr="004D607D" w:rsidRDefault="004D607D" w:rsidP="00EA1B82">
            <w:pPr>
              <w:rPr>
                <w:rFonts w:cs="Arial"/>
                <w:sz w:val="18"/>
                <w:szCs w:val="18"/>
              </w:rPr>
            </w:pPr>
            <w:r w:rsidRPr="00F739C3">
              <w:rPr>
                <w:rFonts w:cs="Arial"/>
                <w:sz w:val="18"/>
                <w:szCs w:val="18"/>
              </w:rPr>
              <w:t>(Not all will apply in each case)</w:t>
            </w:r>
          </w:p>
        </w:tc>
        <w:tc>
          <w:tcPr>
            <w:tcW w:w="4678" w:type="dxa"/>
          </w:tcPr>
          <w:p w14:paraId="49B14258" w14:textId="77777777" w:rsidR="004D607D" w:rsidRPr="00164654" w:rsidRDefault="004D607D" w:rsidP="00EA1B82">
            <w:pPr>
              <w:rPr>
                <w:rFonts w:cs="Arial"/>
                <w:b/>
                <w:sz w:val="20"/>
                <w:szCs w:val="20"/>
              </w:rPr>
            </w:pPr>
            <w:r w:rsidRPr="00164654">
              <w:rPr>
                <w:rFonts w:cs="Arial"/>
                <w:b/>
                <w:sz w:val="20"/>
                <w:szCs w:val="20"/>
              </w:rPr>
              <w:t>Potential Reward</w:t>
            </w:r>
          </w:p>
        </w:tc>
      </w:tr>
      <w:tr w:rsidR="004D607D" w:rsidRPr="00164654" w14:paraId="12DD0254" w14:textId="77777777" w:rsidTr="00EA1B82">
        <w:tc>
          <w:tcPr>
            <w:tcW w:w="2518" w:type="dxa"/>
          </w:tcPr>
          <w:p w14:paraId="487F1223" w14:textId="77777777" w:rsidR="004D607D" w:rsidRPr="00164654" w:rsidRDefault="004D607D" w:rsidP="00EA1B82">
            <w:pPr>
              <w:rPr>
                <w:rFonts w:cs="Arial"/>
                <w:b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 xml:space="preserve">High Risk Appetite: </w:t>
            </w:r>
          </w:p>
          <w:p w14:paraId="4DE7B702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sz w:val="18"/>
                <w:szCs w:val="18"/>
              </w:rPr>
              <w:t>The University is prepared accept risks in order to further its strategic objectives or because the potential rewards are considered to be significant.</w:t>
            </w:r>
          </w:p>
          <w:p w14:paraId="4D64AFF4" w14:textId="77777777" w:rsidR="004D607D" w:rsidRPr="00164654" w:rsidRDefault="004D607D" w:rsidP="00EA1B82">
            <w:pPr>
              <w:rPr>
                <w:rFonts w:cs="Arial"/>
                <w:b/>
                <w:sz w:val="18"/>
                <w:szCs w:val="18"/>
              </w:rPr>
            </w:pPr>
          </w:p>
          <w:p w14:paraId="2ABEF085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A1DDFBA" w14:textId="77777777" w:rsidR="004D607D" w:rsidRPr="00164654" w:rsidRDefault="004D607D" w:rsidP="004D607D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Innovation / Enterprise</w:t>
            </w:r>
          </w:p>
          <w:p w14:paraId="671CD25C" w14:textId="77777777" w:rsidR="004D607D" w:rsidRPr="00164654" w:rsidRDefault="004D607D" w:rsidP="004D607D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Achievement of Strategic Objectives</w:t>
            </w:r>
          </w:p>
          <w:p w14:paraId="57BF13EC" w14:textId="77777777" w:rsidR="004D607D" w:rsidRDefault="004D607D" w:rsidP="004D607D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International Delivery and Recruitment</w:t>
            </w:r>
          </w:p>
          <w:p w14:paraId="586C3247" w14:textId="77777777" w:rsidR="004D607D" w:rsidRDefault="004D607D" w:rsidP="004D607D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of delivery methods including hi-tech DL</w:t>
            </w:r>
          </w:p>
          <w:p w14:paraId="49D1BD10" w14:textId="77777777" w:rsidR="004D607D" w:rsidRDefault="004D607D" w:rsidP="004D607D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Recruitment of FTUG Home/EU students   </w:t>
            </w:r>
          </w:p>
          <w:p w14:paraId="0E4EDE8A" w14:textId="77777777" w:rsidR="004D607D" w:rsidRPr="00164654" w:rsidRDefault="004D607D" w:rsidP="004D607D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403ABC2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 xml:space="preserve">Reputational:  </w:t>
            </w:r>
            <w:r w:rsidRPr="00164654">
              <w:rPr>
                <w:rFonts w:cs="Arial"/>
                <w:sz w:val="18"/>
                <w:szCs w:val="18"/>
              </w:rPr>
              <w:t>Possibility of some damage if undertakings do not deliver.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1BE0F37E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Legal</w:t>
            </w:r>
            <w:r w:rsidRPr="00164654">
              <w:rPr>
                <w:rFonts w:cs="Arial"/>
                <w:sz w:val="18"/>
                <w:szCs w:val="18"/>
              </w:rPr>
              <w:t>: Risk of legal issue arising from undertakings</w:t>
            </w:r>
          </w:p>
          <w:p w14:paraId="6D4ACF90" w14:textId="236DBD9B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Students</w:t>
            </w:r>
            <w:r w:rsidRPr="00164654">
              <w:rPr>
                <w:rFonts w:cs="Arial"/>
                <w:sz w:val="18"/>
                <w:szCs w:val="18"/>
              </w:rPr>
              <w:t>:  Limited negative impact on student experience (e.g. building work</w:t>
            </w:r>
            <w:proofErr w:type="gramStart"/>
            <w:r w:rsidRPr="00164654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  some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disruption as systems are changed.  </w:t>
            </w:r>
          </w:p>
          <w:p w14:paraId="6A09A6E2" w14:textId="1FE9EDDE" w:rsidR="004D607D" w:rsidRPr="00164654" w:rsidRDefault="004627A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Staff</w:t>
            </w:r>
            <w:r w:rsidRPr="00164654">
              <w:rPr>
                <w:rFonts w:cs="Arial"/>
                <w:sz w:val="18"/>
                <w:szCs w:val="18"/>
              </w:rPr>
              <w:t xml:space="preserve">:  Some disruption to day-to-day activities. No more than </w:t>
            </w:r>
            <w:r>
              <w:rPr>
                <w:rFonts w:cs="Arial"/>
                <w:sz w:val="18"/>
                <w:szCs w:val="18"/>
              </w:rPr>
              <w:t>5</w:t>
            </w:r>
            <w:r w:rsidRPr="00164654">
              <w:rPr>
                <w:rFonts w:cs="Arial"/>
                <w:sz w:val="18"/>
                <w:szCs w:val="18"/>
              </w:rPr>
              <w:t xml:space="preserve"> days of senior staff time</w:t>
            </w:r>
          </w:p>
        </w:tc>
        <w:tc>
          <w:tcPr>
            <w:tcW w:w="4678" w:type="dxa"/>
          </w:tcPr>
          <w:p w14:paraId="0F540CFD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Financial</w:t>
            </w:r>
            <w:r w:rsidRPr="00164654">
              <w:rPr>
                <w:rFonts w:cs="Arial"/>
                <w:sz w:val="18"/>
                <w:szCs w:val="18"/>
              </w:rPr>
              <w:t>:  Additional income of more than 5% of turnover</w:t>
            </w:r>
          </w:p>
          <w:p w14:paraId="2682F411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Reputational</w:t>
            </w:r>
            <w:r w:rsidRPr="00164654">
              <w:rPr>
                <w:rFonts w:cs="Arial"/>
                <w:sz w:val="18"/>
                <w:szCs w:val="18"/>
              </w:rPr>
              <w:t xml:space="preserve">: Boost to University’s reputation on a national or international scale. </w:t>
            </w:r>
            <w:r>
              <w:rPr>
                <w:rFonts w:cs="Arial"/>
                <w:sz w:val="18"/>
                <w:szCs w:val="18"/>
              </w:rPr>
              <w:t xml:space="preserve">  Potential rise up the League Tables.  </w:t>
            </w:r>
          </w:p>
          <w:p w14:paraId="08DA05D3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Legal</w:t>
            </w:r>
            <w:r w:rsidRPr="00164654">
              <w:rPr>
                <w:rFonts w:cs="Arial"/>
                <w:sz w:val="18"/>
                <w:szCs w:val="18"/>
              </w:rPr>
              <w:t>: N/A</w:t>
            </w:r>
          </w:p>
          <w:p w14:paraId="2F1E145E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Students</w:t>
            </w:r>
            <w:r w:rsidRPr="00164654">
              <w:rPr>
                <w:rFonts w:cs="Arial"/>
                <w:sz w:val="18"/>
                <w:szCs w:val="18"/>
              </w:rPr>
              <w:t>:  Significant improvement to student experience</w:t>
            </w:r>
            <w:r>
              <w:rPr>
                <w:rFonts w:cs="Arial"/>
                <w:sz w:val="18"/>
                <w:szCs w:val="18"/>
              </w:rPr>
              <w:t>, and/or 10-</w:t>
            </w:r>
            <w:r w:rsidRPr="00164654">
              <w:rPr>
                <w:rFonts w:cs="Arial"/>
                <w:sz w:val="18"/>
                <w:szCs w:val="18"/>
              </w:rPr>
              <w:t>20% increase in student numbers / 40% increase in applications.</w:t>
            </w:r>
          </w:p>
          <w:p w14:paraId="30003423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Staff</w:t>
            </w:r>
            <w:r w:rsidRPr="00164654">
              <w:rPr>
                <w:rFonts w:cs="Arial"/>
                <w:sz w:val="18"/>
                <w:szCs w:val="18"/>
              </w:rPr>
              <w:t>: Significant improvement to staff satisfaction and potential for staff development</w:t>
            </w:r>
            <w:r>
              <w:rPr>
                <w:rFonts w:cs="Arial"/>
                <w:sz w:val="18"/>
                <w:szCs w:val="18"/>
              </w:rPr>
              <w:t>; recruitment and retention.</w:t>
            </w:r>
          </w:p>
        </w:tc>
      </w:tr>
      <w:tr w:rsidR="004D607D" w:rsidRPr="00164654" w14:paraId="18E63900" w14:textId="77777777" w:rsidTr="00EA1B82">
        <w:tc>
          <w:tcPr>
            <w:tcW w:w="2518" w:type="dxa"/>
          </w:tcPr>
          <w:p w14:paraId="43AEFB4D" w14:textId="77777777" w:rsidR="004D607D" w:rsidRPr="00164654" w:rsidRDefault="004D607D" w:rsidP="00EA1B82">
            <w:pPr>
              <w:rPr>
                <w:rFonts w:cs="Arial"/>
                <w:b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Medium Risk Appetite:</w:t>
            </w:r>
          </w:p>
          <w:p w14:paraId="2AEB87F3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sz w:val="18"/>
                <w:szCs w:val="18"/>
              </w:rPr>
              <w:t>The University is prepared to accept some risks in order to improve upon student experience or deliver strategic targets.</w:t>
            </w:r>
          </w:p>
          <w:p w14:paraId="28CB39FD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7C680B" w14:textId="77777777" w:rsidR="004D607D" w:rsidRPr="00164654" w:rsidRDefault="004D607D" w:rsidP="004D607D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Estate Development</w:t>
            </w:r>
          </w:p>
          <w:p w14:paraId="1AB02C44" w14:textId="77777777" w:rsidR="004D607D" w:rsidRPr="00164654" w:rsidRDefault="004D607D" w:rsidP="004D607D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Investment in Facilities</w:t>
            </w:r>
          </w:p>
          <w:p w14:paraId="739EDE01" w14:textId="77777777" w:rsidR="004D607D" w:rsidRPr="00164654" w:rsidRDefault="004D607D" w:rsidP="004D607D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Partnerships</w:t>
            </w:r>
          </w:p>
          <w:p w14:paraId="30B7BA22" w14:textId="77777777" w:rsidR="004D607D" w:rsidRDefault="004D607D" w:rsidP="004D607D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Research</w:t>
            </w:r>
          </w:p>
          <w:p w14:paraId="136C883D" w14:textId="77777777" w:rsidR="004D607D" w:rsidRPr="00164654" w:rsidRDefault="004D607D" w:rsidP="004D607D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F038C3A" w14:textId="77777777" w:rsidR="004627AD" w:rsidRDefault="004627AD" w:rsidP="004627AD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Financial</w:t>
            </w:r>
            <w:r w:rsidRPr="00164654">
              <w:rPr>
                <w:rFonts w:cs="Arial"/>
                <w:sz w:val="18"/>
                <w:szCs w:val="18"/>
              </w:rPr>
              <w:t>:  Investment / potential loss of £500k</w:t>
            </w:r>
          </w:p>
          <w:p w14:paraId="0C09DA72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Reputational</w:t>
            </w:r>
            <w:r w:rsidRPr="00164654">
              <w:rPr>
                <w:rFonts w:cs="Arial"/>
                <w:sz w:val="18"/>
                <w:szCs w:val="18"/>
              </w:rPr>
              <w:t>:  As above</w:t>
            </w:r>
          </w:p>
          <w:p w14:paraId="710E0381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Legal</w:t>
            </w:r>
            <w:r w:rsidRPr="00164654">
              <w:rPr>
                <w:rFonts w:cs="Arial"/>
                <w:sz w:val="18"/>
                <w:szCs w:val="18"/>
              </w:rPr>
              <w:t xml:space="preserve">: As above  </w:t>
            </w:r>
          </w:p>
          <w:p w14:paraId="41A95FA1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Students</w:t>
            </w:r>
            <w:r w:rsidRPr="00164654">
              <w:rPr>
                <w:rFonts w:cs="Arial"/>
                <w:sz w:val="18"/>
                <w:szCs w:val="18"/>
              </w:rPr>
              <w:t>:  Possibility of short-term, negative impact on student experience (e.g. building work etc.)</w:t>
            </w:r>
          </w:p>
          <w:p w14:paraId="19C66F65" w14:textId="556FA84E" w:rsidR="004D607D" w:rsidRPr="00164654" w:rsidRDefault="004627A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Staff</w:t>
            </w:r>
            <w:r w:rsidRPr="00164654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Over 5 days of senior staff time</w:t>
            </w:r>
          </w:p>
        </w:tc>
        <w:tc>
          <w:tcPr>
            <w:tcW w:w="4678" w:type="dxa"/>
          </w:tcPr>
          <w:p w14:paraId="6CAC293D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Financial</w:t>
            </w:r>
            <w:r w:rsidRPr="00164654">
              <w:rPr>
                <w:rFonts w:cs="Arial"/>
                <w:sz w:val="18"/>
                <w:szCs w:val="18"/>
              </w:rPr>
              <w:t>:  Additional income of 2% of turnover</w:t>
            </w:r>
          </w:p>
          <w:p w14:paraId="23B7082A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Reputational</w:t>
            </w:r>
            <w:r w:rsidRPr="00164654">
              <w:rPr>
                <w:rFonts w:cs="Arial"/>
                <w:sz w:val="18"/>
                <w:szCs w:val="18"/>
              </w:rPr>
              <w:t>: Improvement to reputation on a national or local level.</w:t>
            </w:r>
          </w:p>
          <w:p w14:paraId="3FC1089A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Legal</w:t>
            </w:r>
            <w:r w:rsidRPr="00164654">
              <w:rPr>
                <w:rFonts w:cs="Arial"/>
                <w:sz w:val="18"/>
                <w:szCs w:val="18"/>
              </w:rPr>
              <w:t>: Improvement to compliance.</w:t>
            </w:r>
          </w:p>
          <w:p w14:paraId="6B73D183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Students</w:t>
            </w:r>
            <w:r w:rsidRPr="00164654">
              <w:rPr>
                <w:rFonts w:cs="Arial"/>
                <w:sz w:val="18"/>
                <w:szCs w:val="18"/>
              </w:rPr>
              <w:t xml:space="preserve">:  Improvements to student experience in the medium / long term. </w:t>
            </w:r>
            <w:r>
              <w:rPr>
                <w:rFonts w:cs="Arial"/>
                <w:sz w:val="18"/>
                <w:szCs w:val="18"/>
              </w:rPr>
              <w:t>5-</w:t>
            </w:r>
            <w:r w:rsidRPr="00164654">
              <w:rPr>
                <w:rFonts w:cs="Arial"/>
                <w:sz w:val="18"/>
                <w:szCs w:val="18"/>
              </w:rPr>
              <w:t>10% increase in student numbers / 25 % increase in applications.</w:t>
            </w:r>
          </w:p>
          <w:p w14:paraId="55397910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 xml:space="preserve">Staff:  </w:t>
            </w:r>
            <w:r w:rsidRPr="00164654">
              <w:rPr>
                <w:rFonts w:cs="Arial"/>
                <w:sz w:val="18"/>
                <w:szCs w:val="18"/>
              </w:rPr>
              <w:t>Improvement to staff satisfaction in the medium / long term.</w:t>
            </w:r>
          </w:p>
        </w:tc>
      </w:tr>
      <w:tr w:rsidR="004D607D" w:rsidRPr="00164654" w14:paraId="6E8B2872" w14:textId="77777777" w:rsidTr="00EA1B82">
        <w:tc>
          <w:tcPr>
            <w:tcW w:w="2518" w:type="dxa"/>
          </w:tcPr>
          <w:p w14:paraId="532574D7" w14:textId="77777777" w:rsidR="004D607D" w:rsidRPr="00164654" w:rsidRDefault="004D607D" w:rsidP="00EA1B82">
            <w:pPr>
              <w:rPr>
                <w:rFonts w:cs="Arial"/>
                <w:b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Medium / Low Risk Appetite:</w:t>
            </w:r>
          </w:p>
          <w:p w14:paraId="5F002CA7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sz w:val="18"/>
                <w:szCs w:val="18"/>
              </w:rPr>
              <w:t>The University is generally risk adverse but will accept some small risks as a necessary part of day-to-day operations.</w:t>
            </w:r>
          </w:p>
          <w:p w14:paraId="24BDE6A0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454771" w14:textId="77777777" w:rsidR="004D607D" w:rsidRPr="00164654" w:rsidRDefault="004D607D" w:rsidP="004D607D">
            <w:pPr>
              <w:numPr>
                <w:ilvl w:val="0"/>
                <w:numId w:val="5"/>
              </w:num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64654">
              <w:rPr>
                <w:rFonts w:eastAsia="Times New Roman" w:cs="Arial"/>
                <w:color w:val="000000"/>
                <w:sz w:val="18"/>
                <w:szCs w:val="18"/>
              </w:rPr>
              <w:t>Service delivery</w:t>
            </w:r>
          </w:p>
          <w:p w14:paraId="10D28030" w14:textId="77777777" w:rsidR="004D607D" w:rsidRPr="00164654" w:rsidRDefault="004D607D" w:rsidP="004D607D">
            <w:pPr>
              <w:numPr>
                <w:ilvl w:val="0"/>
                <w:numId w:val="5"/>
              </w:num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64654">
              <w:rPr>
                <w:rFonts w:eastAsia="Times New Roman" w:cs="Arial"/>
                <w:color w:val="000000"/>
                <w:sz w:val="18"/>
                <w:szCs w:val="18"/>
              </w:rPr>
              <w:t>IT Innovation</w:t>
            </w:r>
          </w:p>
          <w:p w14:paraId="768C6582" w14:textId="77777777" w:rsidR="004D607D" w:rsidRPr="00164654" w:rsidRDefault="004D607D" w:rsidP="004D607D">
            <w:pPr>
              <w:pStyle w:val="BodyText2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Quality</w:t>
            </w:r>
          </w:p>
          <w:p w14:paraId="031F35A6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6EAA22C" w14:textId="77777777" w:rsidR="004627AD" w:rsidRPr="00164654" w:rsidRDefault="004627AD" w:rsidP="004627AD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Financial</w:t>
            </w:r>
            <w:r w:rsidRPr="00164654">
              <w:rPr>
                <w:rFonts w:cs="Arial"/>
                <w:sz w:val="18"/>
                <w:szCs w:val="18"/>
              </w:rPr>
              <w:t>:  Investment of</w:t>
            </w:r>
            <w:r>
              <w:rPr>
                <w:rFonts w:cs="Arial"/>
                <w:sz w:val="18"/>
                <w:szCs w:val="18"/>
              </w:rPr>
              <w:t xml:space="preserve"> up to 2</w:t>
            </w:r>
            <w:r w:rsidRPr="00164654">
              <w:rPr>
                <w:rFonts w:cs="Arial"/>
                <w:sz w:val="18"/>
                <w:szCs w:val="18"/>
              </w:rPr>
              <w:t>% of turnover</w:t>
            </w:r>
            <w:r>
              <w:rPr>
                <w:rFonts w:cs="Arial"/>
                <w:sz w:val="18"/>
                <w:szCs w:val="18"/>
              </w:rPr>
              <w:t xml:space="preserve">,  including staff time </w:t>
            </w:r>
          </w:p>
          <w:p w14:paraId="1508458A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Reputational</w:t>
            </w:r>
            <w:r w:rsidRPr="00164654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As above</w:t>
            </w:r>
            <w:r w:rsidRPr="00164654">
              <w:rPr>
                <w:rFonts w:cs="Arial"/>
                <w:sz w:val="18"/>
                <w:szCs w:val="18"/>
              </w:rPr>
              <w:t>.</w:t>
            </w:r>
          </w:p>
          <w:p w14:paraId="79607D78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Legal</w:t>
            </w:r>
            <w:r w:rsidRPr="00164654">
              <w:rPr>
                <w:rFonts w:cs="Arial"/>
                <w:sz w:val="18"/>
                <w:szCs w:val="18"/>
              </w:rPr>
              <w:t xml:space="preserve">:  </w:t>
            </w:r>
            <w:r>
              <w:rPr>
                <w:rFonts w:cs="Arial"/>
                <w:sz w:val="18"/>
                <w:szCs w:val="18"/>
              </w:rPr>
              <w:t>As above</w:t>
            </w:r>
          </w:p>
          <w:p w14:paraId="5B71AF94" w14:textId="17D80620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Students</w:t>
            </w:r>
            <w:r w:rsidRPr="00164654">
              <w:rPr>
                <w:rFonts w:cs="Arial"/>
                <w:sz w:val="18"/>
                <w:szCs w:val="18"/>
              </w:rPr>
              <w:t xml:space="preserve">:  </w:t>
            </w:r>
            <w:r>
              <w:rPr>
                <w:rFonts w:cs="Arial"/>
                <w:sz w:val="18"/>
                <w:szCs w:val="18"/>
              </w:rPr>
              <w:t>As above.</w:t>
            </w:r>
          </w:p>
          <w:p w14:paraId="3369A5EB" w14:textId="5BE1F1EE" w:rsidR="004D607D" w:rsidRPr="00164654" w:rsidRDefault="004627A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Staff</w:t>
            </w:r>
            <w:r w:rsidRPr="00164654">
              <w:rPr>
                <w:rFonts w:cs="Arial"/>
                <w:sz w:val="18"/>
                <w:szCs w:val="18"/>
              </w:rPr>
              <w:t>: Significant (more than 45 days of senior staff) time required for dedicated projects</w:t>
            </w:r>
          </w:p>
        </w:tc>
        <w:tc>
          <w:tcPr>
            <w:tcW w:w="4678" w:type="dxa"/>
          </w:tcPr>
          <w:p w14:paraId="770F0A73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Financial</w:t>
            </w:r>
            <w:r w:rsidRPr="00164654">
              <w:rPr>
                <w:rFonts w:cs="Arial"/>
                <w:sz w:val="18"/>
                <w:szCs w:val="18"/>
              </w:rPr>
              <w:t>:  Limited possibility of financial gain</w:t>
            </w:r>
            <w:r>
              <w:rPr>
                <w:rFonts w:cs="Arial"/>
                <w:sz w:val="18"/>
                <w:szCs w:val="18"/>
              </w:rPr>
              <w:t xml:space="preserve"> / gaining new business</w:t>
            </w:r>
          </w:p>
          <w:p w14:paraId="1710D511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Reputational</w:t>
            </w:r>
            <w:r w:rsidRPr="00164654">
              <w:rPr>
                <w:rFonts w:cs="Arial"/>
                <w:sz w:val="18"/>
                <w:szCs w:val="18"/>
              </w:rPr>
              <w:t>:  Limited positive impact on reputation.</w:t>
            </w:r>
          </w:p>
          <w:p w14:paraId="7BCAA73E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Legal</w:t>
            </w:r>
            <w:r w:rsidRPr="00164654">
              <w:rPr>
                <w:rFonts w:cs="Arial"/>
                <w:sz w:val="18"/>
                <w:szCs w:val="18"/>
              </w:rPr>
              <w:t>: None</w:t>
            </w:r>
          </w:p>
          <w:p w14:paraId="287EECF6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Students</w:t>
            </w:r>
            <w:r w:rsidRPr="00164654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Limited immediate improvement to student satisfaction, possibly only in one area of the </w:t>
            </w:r>
            <w:proofErr w:type="gramStart"/>
            <w:r>
              <w:rPr>
                <w:rFonts w:cs="Arial"/>
                <w:sz w:val="18"/>
                <w:szCs w:val="18"/>
              </w:rPr>
              <w:t>NSS..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 Increase student numbers in some areas.</w:t>
            </w:r>
          </w:p>
          <w:p w14:paraId="28556186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Staff</w:t>
            </w:r>
            <w:r w:rsidRPr="00164654">
              <w:rPr>
                <w:rFonts w:cs="Arial"/>
                <w:sz w:val="18"/>
                <w:szCs w:val="18"/>
              </w:rPr>
              <w:t>:  Limited positive outc</w:t>
            </w:r>
            <w:r>
              <w:rPr>
                <w:rFonts w:cs="Arial"/>
                <w:sz w:val="18"/>
                <w:szCs w:val="18"/>
              </w:rPr>
              <w:t>omes for small numbers of staff.</w:t>
            </w:r>
          </w:p>
        </w:tc>
      </w:tr>
      <w:tr w:rsidR="004D607D" w:rsidRPr="00164654" w14:paraId="5E46BCFB" w14:textId="77777777" w:rsidTr="00EA1B82">
        <w:tc>
          <w:tcPr>
            <w:tcW w:w="2518" w:type="dxa"/>
          </w:tcPr>
          <w:p w14:paraId="6B9B844A" w14:textId="77777777" w:rsidR="004D607D" w:rsidRPr="00164654" w:rsidRDefault="004D607D" w:rsidP="00EA1B82">
            <w:pPr>
              <w:rPr>
                <w:rFonts w:cs="Arial"/>
                <w:b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Low Risk Appetite:</w:t>
            </w:r>
          </w:p>
          <w:p w14:paraId="482EF3DB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sz w:val="18"/>
                <w:szCs w:val="18"/>
              </w:rPr>
              <w:t xml:space="preserve">The University will seek to avoid taking any risks in these areas and, where risks are unavoidable, will seek to mitigate as much as possible. </w:t>
            </w:r>
          </w:p>
        </w:tc>
        <w:tc>
          <w:tcPr>
            <w:tcW w:w="2552" w:type="dxa"/>
          </w:tcPr>
          <w:p w14:paraId="4C4E04D4" w14:textId="77777777" w:rsidR="004D607D" w:rsidRPr="00164654" w:rsidRDefault="004D607D" w:rsidP="004D607D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Regulatory Compliance</w:t>
            </w:r>
          </w:p>
          <w:p w14:paraId="681C24E9" w14:textId="77777777" w:rsidR="004D607D" w:rsidRPr="00164654" w:rsidRDefault="004D607D" w:rsidP="004D607D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Health &amp; Safety</w:t>
            </w:r>
          </w:p>
          <w:p w14:paraId="1AC0EE11" w14:textId="77777777" w:rsidR="004D607D" w:rsidRPr="00164654" w:rsidRDefault="004D607D" w:rsidP="004D607D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64654">
              <w:rPr>
                <w:rFonts w:ascii="Arial" w:hAnsi="Arial" w:cs="Arial"/>
                <w:sz w:val="18"/>
                <w:szCs w:val="18"/>
              </w:rPr>
              <w:t>Environmental Compliance</w:t>
            </w:r>
          </w:p>
          <w:p w14:paraId="7679B978" w14:textId="77777777" w:rsidR="004D607D" w:rsidRPr="00164654" w:rsidRDefault="004D607D" w:rsidP="00EA1B82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</w:p>
          <w:p w14:paraId="36CD32BF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B933B6E" w14:textId="77777777" w:rsidR="004627AD" w:rsidRPr="00164654" w:rsidRDefault="004627AD" w:rsidP="004627AD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Financial</w:t>
            </w:r>
            <w:r w:rsidRPr="00164654">
              <w:rPr>
                <w:rFonts w:cs="Arial"/>
                <w:sz w:val="18"/>
                <w:szCs w:val="18"/>
              </w:rPr>
              <w:t>:  Investment of more than 2% of turnover</w:t>
            </w:r>
            <w:r>
              <w:rPr>
                <w:rFonts w:cs="Arial"/>
                <w:sz w:val="18"/>
                <w:szCs w:val="18"/>
              </w:rPr>
              <w:t>, either in terms of cash or staff time/effort</w:t>
            </w:r>
          </w:p>
          <w:p w14:paraId="7920907E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Reputational</w:t>
            </w:r>
            <w:r w:rsidRPr="00164654">
              <w:rPr>
                <w:rFonts w:cs="Arial"/>
                <w:sz w:val="18"/>
                <w:szCs w:val="18"/>
              </w:rPr>
              <w:t>: Damage to reputation on a n</w:t>
            </w:r>
            <w:r>
              <w:rPr>
                <w:rFonts w:cs="Arial"/>
                <w:sz w:val="18"/>
                <w:szCs w:val="18"/>
              </w:rPr>
              <w:t>ational  level</w:t>
            </w:r>
          </w:p>
          <w:p w14:paraId="71541A12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Legal</w:t>
            </w:r>
            <w:r w:rsidRPr="00164654">
              <w:rPr>
                <w:rFonts w:cs="Arial"/>
                <w:sz w:val="18"/>
                <w:szCs w:val="18"/>
              </w:rPr>
              <w:t>:  Severe breach of compliance resulting in legal action and possible heavy sanctions.</w:t>
            </w:r>
          </w:p>
          <w:p w14:paraId="42791EBF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b/>
                <w:sz w:val="18"/>
                <w:szCs w:val="18"/>
              </w:rPr>
              <w:t>Staff</w:t>
            </w:r>
            <w:r w:rsidRPr="00164654">
              <w:rPr>
                <w:rFonts w:cs="Arial"/>
                <w:sz w:val="18"/>
                <w:szCs w:val="18"/>
              </w:rPr>
              <w:t xml:space="preserve">:  Physical danger to staff and severe negative impact on staff satisfaction.  </w:t>
            </w:r>
          </w:p>
        </w:tc>
        <w:tc>
          <w:tcPr>
            <w:tcW w:w="4678" w:type="dxa"/>
          </w:tcPr>
          <w:p w14:paraId="3B9D691E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sz w:val="18"/>
                <w:szCs w:val="18"/>
              </w:rPr>
              <w:t>No possible reward would compensate for taking</w:t>
            </w:r>
            <w:r>
              <w:rPr>
                <w:rFonts w:cs="Arial"/>
                <w:sz w:val="18"/>
                <w:szCs w:val="18"/>
              </w:rPr>
              <w:t xml:space="preserve"> these</w:t>
            </w:r>
            <w:r w:rsidRPr="00164654">
              <w:rPr>
                <w:rFonts w:cs="Arial"/>
                <w:sz w:val="18"/>
                <w:szCs w:val="18"/>
              </w:rPr>
              <w:t xml:space="preserve"> levels of risk.</w:t>
            </w:r>
          </w:p>
          <w:p w14:paraId="20D674AC" w14:textId="77777777" w:rsidR="004D607D" w:rsidRPr="00164654" w:rsidRDefault="004D607D" w:rsidP="00EA1B82">
            <w:pPr>
              <w:rPr>
                <w:rFonts w:cs="Arial"/>
                <w:sz w:val="18"/>
                <w:szCs w:val="18"/>
              </w:rPr>
            </w:pPr>
          </w:p>
        </w:tc>
      </w:tr>
      <w:tr w:rsidR="004D607D" w:rsidRPr="00164654" w14:paraId="41F9E8FF" w14:textId="77777777" w:rsidTr="00EA1B82">
        <w:tc>
          <w:tcPr>
            <w:tcW w:w="5070" w:type="dxa"/>
            <w:gridSpan w:val="2"/>
          </w:tcPr>
          <w:p w14:paraId="5ACCC27F" w14:textId="21302F89" w:rsidR="004D607D" w:rsidRPr="00164654" w:rsidRDefault="004D607D" w:rsidP="00EA1B82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164654">
              <w:rPr>
                <w:rFonts w:ascii="Arial" w:hAnsi="Arial" w:cs="Arial"/>
                <w:b/>
                <w:sz w:val="18"/>
                <w:szCs w:val="18"/>
              </w:rPr>
              <w:t xml:space="preserve">The University will </w:t>
            </w:r>
            <w:r w:rsidR="00037D5F">
              <w:rPr>
                <w:rFonts w:ascii="Arial" w:hAnsi="Arial" w:cs="Arial"/>
                <w:b/>
                <w:sz w:val="18"/>
                <w:szCs w:val="18"/>
              </w:rPr>
              <w:t xml:space="preserve">proactively mitigate to the </w:t>
            </w:r>
            <w:r w:rsidR="0005490E">
              <w:rPr>
                <w:rFonts w:ascii="Arial" w:hAnsi="Arial" w:cs="Arial"/>
                <w:b/>
                <w:sz w:val="18"/>
                <w:szCs w:val="18"/>
              </w:rPr>
              <w:t xml:space="preserve">fullest </w:t>
            </w:r>
            <w:r w:rsidR="00037D5F">
              <w:rPr>
                <w:rFonts w:ascii="Arial" w:hAnsi="Arial" w:cs="Arial"/>
                <w:b/>
                <w:sz w:val="18"/>
                <w:szCs w:val="18"/>
              </w:rPr>
              <w:t xml:space="preserve">extent possible </w:t>
            </w:r>
            <w:r w:rsidRPr="00164654">
              <w:rPr>
                <w:rFonts w:ascii="Arial" w:hAnsi="Arial" w:cs="Arial"/>
                <w:b/>
                <w:sz w:val="18"/>
                <w:szCs w:val="18"/>
              </w:rPr>
              <w:t>any risks with these potential impacts</w:t>
            </w:r>
          </w:p>
        </w:tc>
        <w:tc>
          <w:tcPr>
            <w:tcW w:w="10206" w:type="dxa"/>
            <w:gridSpan w:val="2"/>
          </w:tcPr>
          <w:p w14:paraId="7C4E6FC1" w14:textId="77777777" w:rsidR="004D607D" w:rsidRPr="00D50F44" w:rsidRDefault="004D607D" w:rsidP="004D607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Physical danger / loss of life.</w:t>
            </w:r>
          </w:p>
          <w:p w14:paraId="68223559" w14:textId="77777777" w:rsidR="004D607D" w:rsidRPr="00164654" w:rsidRDefault="004D607D" w:rsidP="004D607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164654">
              <w:rPr>
                <w:rFonts w:cs="Arial"/>
                <w:sz w:val="18"/>
                <w:szCs w:val="18"/>
              </w:rPr>
              <w:t>evere negative impact on student experience</w:t>
            </w:r>
          </w:p>
          <w:p w14:paraId="03658974" w14:textId="77777777" w:rsidR="004D607D" w:rsidRPr="00164654" w:rsidRDefault="004D607D" w:rsidP="004D607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sz w:val="18"/>
                <w:szCs w:val="18"/>
              </w:rPr>
              <w:t>Financial loss of more than 10% of turnover</w:t>
            </w:r>
          </w:p>
          <w:p w14:paraId="6956CCC1" w14:textId="77777777" w:rsidR="004D607D" w:rsidRPr="00164654" w:rsidRDefault="004D607D" w:rsidP="004D607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164654">
              <w:rPr>
                <w:rFonts w:cs="Arial"/>
                <w:sz w:val="18"/>
                <w:szCs w:val="18"/>
              </w:rPr>
              <w:t>Severe damage to reputation on a national and international level.</w:t>
            </w:r>
          </w:p>
        </w:tc>
      </w:tr>
    </w:tbl>
    <w:p w14:paraId="2B6C5328" w14:textId="77777777" w:rsidR="004D607D" w:rsidRDefault="004D607D" w:rsidP="004D607D">
      <w:pPr>
        <w:sectPr w:rsidR="004D607D" w:rsidSect="004D607D">
          <w:headerReference w:type="default" r:id="rId11"/>
          <w:footerReference w:type="default" r:id="rId12"/>
          <w:pgSz w:w="16838" w:h="11906" w:orient="landscape"/>
          <w:pgMar w:top="284" w:right="720" w:bottom="426" w:left="720" w:header="709" w:footer="709" w:gutter="0"/>
          <w:cols w:space="708"/>
          <w:docGrid w:linePitch="360"/>
        </w:sectPr>
      </w:pPr>
    </w:p>
    <w:p w14:paraId="75BEFB2C" w14:textId="77777777" w:rsidR="004D607D" w:rsidRDefault="004D607D" w:rsidP="004D607D">
      <w:pPr>
        <w:pStyle w:val="Heading1"/>
        <w:spacing w:before="43"/>
        <w:jc w:val="both"/>
        <w:rPr>
          <w:b w:val="0"/>
          <w:bCs w:val="0"/>
        </w:rPr>
      </w:pPr>
      <w:bookmarkStart w:id="1" w:name="_TOC_250001"/>
      <w:r>
        <w:rPr>
          <w:color w:val="000066"/>
          <w:spacing w:val="-1"/>
        </w:rPr>
        <w:lastRenderedPageBreak/>
        <w:t>Appendix</w:t>
      </w:r>
      <w:r>
        <w:rPr>
          <w:color w:val="000066"/>
        </w:rPr>
        <w:t xml:space="preserve"> 3</w:t>
      </w:r>
      <w:r>
        <w:rPr>
          <w:color w:val="000066"/>
          <w:spacing w:val="1"/>
        </w:rPr>
        <w:t xml:space="preserve"> </w:t>
      </w:r>
      <w:r>
        <w:rPr>
          <w:rFonts w:cs="Arial"/>
          <w:color w:val="000066"/>
        </w:rPr>
        <w:t xml:space="preserve">– </w:t>
      </w:r>
      <w:r>
        <w:rPr>
          <w:color w:val="000066"/>
          <w:spacing w:val="-1"/>
        </w:rPr>
        <w:t>Risk</w:t>
      </w:r>
      <w:r>
        <w:rPr>
          <w:color w:val="000066"/>
        </w:rPr>
        <w:t xml:space="preserve"> </w:t>
      </w:r>
      <w:r>
        <w:rPr>
          <w:color w:val="000066"/>
          <w:spacing w:val="-2"/>
        </w:rPr>
        <w:t>Appetite</w:t>
      </w:r>
      <w:bookmarkEnd w:id="1"/>
    </w:p>
    <w:p w14:paraId="3AB6B86D" w14:textId="77777777" w:rsidR="004D607D" w:rsidRDefault="004D607D" w:rsidP="004D607D">
      <w:pPr>
        <w:spacing w:before="2"/>
        <w:rPr>
          <w:rFonts w:eastAsia="Arial" w:cs="Arial"/>
          <w:b/>
          <w:bCs/>
        </w:rPr>
      </w:pPr>
    </w:p>
    <w:p w14:paraId="0ECE07BD" w14:textId="77777777" w:rsidR="004D607D" w:rsidRDefault="004D607D" w:rsidP="004D607D">
      <w:pPr>
        <w:pStyle w:val="BodyText"/>
        <w:jc w:val="both"/>
      </w:pPr>
      <w:r>
        <w:rPr>
          <w:color w:val="000066"/>
          <w:spacing w:val="1"/>
          <w:u w:val="single" w:color="000066"/>
        </w:rPr>
        <w:t>The</w:t>
      </w:r>
      <w:r>
        <w:rPr>
          <w:color w:val="000066"/>
          <w:spacing w:val="-8"/>
          <w:u w:val="single" w:color="000066"/>
        </w:rPr>
        <w:t xml:space="preserve"> </w:t>
      </w:r>
      <w:r>
        <w:rPr>
          <w:color w:val="000066"/>
          <w:u w:val="single" w:color="000066"/>
        </w:rPr>
        <w:t>Risk</w:t>
      </w:r>
      <w:r>
        <w:rPr>
          <w:color w:val="000066"/>
          <w:spacing w:val="-5"/>
          <w:u w:val="single" w:color="000066"/>
        </w:rPr>
        <w:t xml:space="preserve"> </w:t>
      </w:r>
      <w:r>
        <w:rPr>
          <w:color w:val="000066"/>
          <w:spacing w:val="-1"/>
          <w:u w:val="single" w:color="000066"/>
        </w:rPr>
        <w:t>Appetite</w:t>
      </w:r>
      <w:r>
        <w:rPr>
          <w:color w:val="000066"/>
          <w:spacing w:val="-7"/>
          <w:u w:val="single" w:color="000066"/>
        </w:rPr>
        <w:t xml:space="preserve"> </w:t>
      </w:r>
      <w:r>
        <w:rPr>
          <w:color w:val="000066"/>
          <w:u w:val="single" w:color="000066"/>
        </w:rPr>
        <w:t>Cycle</w:t>
      </w:r>
    </w:p>
    <w:p w14:paraId="110BA4D8" w14:textId="77777777" w:rsidR="004D607D" w:rsidRDefault="004D607D" w:rsidP="004D607D">
      <w:pPr>
        <w:pStyle w:val="BodyText"/>
        <w:spacing w:before="120"/>
        <w:ind w:right="476"/>
        <w:jc w:val="both"/>
        <w:rPr>
          <w:rFonts w:cs="Arial"/>
        </w:rPr>
      </w:pPr>
      <w:r>
        <w:rPr>
          <w:color w:val="000066"/>
          <w:spacing w:val="1"/>
        </w:rPr>
        <w:t>The</w:t>
      </w:r>
      <w:r>
        <w:rPr>
          <w:color w:val="000066"/>
          <w:spacing w:val="17"/>
        </w:rPr>
        <w:t xml:space="preserve"> </w:t>
      </w:r>
      <w:r>
        <w:rPr>
          <w:color w:val="000066"/>
          <w:spacing w:val="-1"/>
        </w:rPr>
        <w:t>risk</w:t>
      </w:r>
      <w:r>
        <w:rPr>
          <w:color w:val="000066"/>
          <w:spacing w:val="21"/>
        </w:rPr>
        <w:t xml:space="preserve"> </w:t>
      </w:r>
      <w:r>
        <w:rPr>
          <w:color w:val="000066"/>
          <w:spacing w:val="-1"/>
        </w:rPr>
        <w:t>appetite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cycle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should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be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a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dynamic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process,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as</w:t>
      </w:r>
      <w:r>
        <w:rPr>
          <w:color w:val="000066"/>
          <w:spacing w:val="19"/>
        </w:rPr>
        <w:t xml:space="preserve"> </w:t>
      </w:r>
      <w:r>
        <w:rPr>
          <w:color w:val="000066"/>
        </w:rPr>
        <w:t>depicted</w:t>
      </w:r>
      <w:r>
        <w:rPr>
          <w:color w:val="000066"/>
          <w:spacing w:val="18"/>
        </w:rPr>
        <w:t xml:space="preserve"> </w:t>
      </w:r>
      <w:r>
        <w:rPr>
          <w:color w:val="000066"/>
          <w:spacing w:val="2"/>
        </w:rPr>
        <w:t>by</w:t>
      </w:r>
      <w:r>
        <w:rPr>
          <w:color w:val="000066"/>
          <w:spacing w:val="15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17"/>
        </w:rPr>
        <w:t xml:space="preserve"> </w:t>
      </w:r>
      <w:r>
        <w:rPr>
          <w:color w:val="000066"/>
        </w:rPr>
        <w:t>diagram</w:t>
      </w:r>
      <w:r>
        <w:rPr>
          <w:color w:val="000066"/>
          <w:spacing w:val="22"/>
        </w:rPr>
        <w:t xml:space="preserve"> </w:t>
      </w:r>
      <w:r>
        <w:rPr>
          <w:color w:val="000066"/>
          <w:spacing w:val="-1"/>
        </w:rPr>
        <w:t>below,</w:t>
      </w:r>
      <w:r>
        <w:rPr>
          <w:color w:val="000066"/>
          <w:spacing w:val="21"/>
        </w:rPr>
        <w:t xml:space="preserve"> </w:t>
      </w:r>
      <w:r>
        <w:rPr>
          <w:color w:val="000066"/>
          <w:spacing w:val="-1"/>
        </w:rPr>
        <w:t>with</w:t>
      </w:r>
      <w:r>
        <w:rPr>
          <w:color w:val="000066"/>
          <w:spacing w:val="17"/>
        </w:rPr>
        <w:t xml:space="preserve"> </w:t>
      </w:r>
      <w:r>
        <w:rPr>
          <w:color w:val="000066"/>
        </w:rPr>
        <w:t>appetite</w:t>
      </w:r>
      <w:r>
        <w:rPr>
          <w:color w:val="000066"/>
          <w:spacing w:val="20"/>
        </w:rPr>
        <w:t xml:space="preserve"> </w:t>
      </w:r>
      <w:r>
        <w:rPr>
          <w:color w:val="000066"/>
        </w:rPr>
        <w:t>and</w:t>
      </w:r>
      <w:r>
        <w:rPr>
          <w:color w:val="000066"/>
          <w:spacing w:val="46"/>
          <w:w w:val="99"/>
        </w:rPr>
        <w:t xml:space="preserve"> </w:t>
      </w:r>
      <w:r>
        <w:rPr>
          <w:color w:val="000066"/>
        </w:rPr>
        <w:t>limits</w:t>
      </w:r>
      <w:r>
        <w:rPr>
          <w:color w:val="000066"/>
          <w:spacing w:val="27"/>
        </w:rPr>
        <w:t xml:space="preserve"> </w:t>
      </w:r>
      <w:r>
        <w:rPr>
          <w:color w:val="000066"/>
        </w:rPr>
        <w:t>responding</w:t>
      </w:r>
      <w:r>
        <w:rPr>
          <w:color w:val="000066"/>
          <w:spacing w:val="28"/>
        </w:rPr>
        <w:t xml:space="preserve"> </w:t>
      </w:r>
      <w:r>
        <w:rPr>
          <w:color w:val="000066"/>
          <w:spacing w:val="1"/>
        </w:rPr>
        <w:t>to</w:t>
      </w:r>
      <w:r>
        <w:rPr>
          <w:color w:val="000066"/>
          <w:spacing w:val="27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28"/>
        </w:rPr>
        <w:t xml:space="preserve"> </w:t>
      </w:r>
      <w:r>
        <w:rPr>
          <w:color w:val="000066"/>
        </w:rPr>
        <w:t>business</w:t>
      </w:r>
      <w:r>
        <w:rPr>
          <w:color w:val="000066"/>
          <w:spacing w:val="28"/>
        </w:rPr>
        <w:t xml:space="preserve"> </w:t>
      </w:r>
      <w:r>
        <w:rPr>
          <w:color w:val="000066"/>
        </w:rPr>
        <w:t>environment</w:t>
      </w:r>
      <w:r>
        <w:rPr>
          <w:color w:val="000066"/>
          <w:spacing w:val="27"/>
        </w:rPr>
        <w:t xml:space="preserve"> </w:t>
      </w:r>
      <w:r>
        <w:rPr>
          <w:color w:val="000066"/>
        </w:rPr>
        <w:t>and/or</w:t>
      </w:r>
      <w:r>
        <w:rPr>
          <w:color w:val="000066"/>
          <w:spacing w:val="28"/>
        </w:rPr>
        <w:t xml:space="preserve"> </w:t>
      </w:r>
      <w:r>
        <w:rPr>
          <w:color w:val="000066"/>
        </w:rPr>
        <w:t>changes</w:t>
      </w:r>
      <w:r>
        <w:rPr>
          <w:color w:val="000066"/>
          <w:spacing w:val="28"/>
        </w:rPr>
        <w:t xml:space="preserve"> </w:t>
      </w:r>
      <w:r>
        <w:rPr>
          <w:color w:val="000066"/>
          <w:spacing w:val="1"/>
        </w:rPr>
        <w:t>to</w:t>
      </w:r>
      <w:r>
        <w:rPr>
          <w:color w:val="000066"/>
          <w:spacing w:val="27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29"/>
        </w:rPr>
        <w:t xml:space="preserve"> </w:t>
      </w:r>
      <w:r>
        <w:rPr>
          <w:color w:val="000066"/>
        </w:rPr>
        <w:t>capacity</w:t>
      </w:r>
      <w:r>
        <w:rPr>
          <w:color w:val="000066"/>
          <w:spacing w:val="26"/>
        </w:rPr>
        <w:t xml:space="preserve"> </w:t>
      </w:r>
      <w:r>
        <w:rPr>
          <w:color w:val="000066"/>
        </w:rPr>
        <w:t>as</w:t>
      </w:r>
      <w:r>
        <w:rPr>
          <w:color w:val="000066"/>
          <w:spacing w:val="30"/>
        </w:rPr>
        <w:t xml:space="preserve"> </w:t>
      </w:r>
      <w:r>
        <w:rPr>
          <w:color w:val="000066"/>
        </w:rPr>
        <w:t>required.</w:t>
      </w:r>
      <w:r>
        <w:rPr>
          <w:color w:val="000066"/>
          <w:spacing w:val="29"/>
        </w:rPr>
        <w:t xml:space="preserve"> </w:t>
      </w:r>
      <w:r>
        <w:rPr>
          <w:color w:val="000066"/>
          <w:spacing w:val="-1"/>
        </w:rPr>
        <w:t>Achieving</w:t>
      </w:r>
      <w:r>
        <w:rPr>
          <w:color w:val="000066"/>
          <w:spacing w:val="28"/>
        </w:rPr>
        <w:t xml:space="preserve"> </w:t>
      </w:r>
      <w:r>
        <w:rPr>
          <w:color w:val="000066"/>
        </w:rPr>
        <w:t>this</w:t>
      </w:r>
      <w:r>
        <w:rPr>
          <w:color w:val="000066"/>
          <w:spacing w:val="32"/>
          <w:w w:val="99"/>
        </w:rPr>
        <w:t xml:space="preserve"> </w:t>
      </w:r>
      <w:r>
        <w:rPr>
          <w:color w:val="000066"/>
          <w:spacing w:val="-1"/>
        </w:rPr>
        <w:t>dynamism</w:t>
      </w:r>
      <w:r>
        <w:rPr>
          <w:color w:val="000066"/>
          <w:spacing w:val="-3"/>
        </w:rPr>
        <w:t xml:space="preserve"> </w:t>
      </w:r>
      <w:r>
        <w:rPr>
          <w:color w:val="000066"/>
          <w:spacing w:val="-1"/>
        </w:rPr>
        <w:t>is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greatly</w:t>
      </w:r>
      <w:r>
        <w:rPr>
          <w:color w:val="000066"/>
          <w:spacing w:val="-8"/>
        </w:rPr>
        <w:t xml:space="preserve"> </w:t>
      </w:r>
      <w:r>
        <w:rPr>
          <w:color w:val="000066"/>
        </w:rPr>
        <w:t>assisted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1"/>
        </w:rPr>
        <w:t>by</w:t>
      </w:r>
      <w:r>
        <w:rPr>
          <w:color w:val="000066"/>
          <w:spacing w:val="-9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use of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a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1"/>
        </w:rPr>
        <w:t>common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organisational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language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with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respect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components</w:t>
      </w:r>
      <w:r>
        <w:rPr>
          <w:color w:val="000066"/>
          <w:spacing w:val="42"/>
          <w:w w:val="99"/>
        </w:rPr>
        <w:t xml:space="preserve"> </w:t>
      </w:r>
      <w:r>
        <w:rPr>
          <w:rFonts w:cs="Arial"/>
          <w:color w:val="000066"/>
        </w:rPr>
        <w:t>of</w:t>
      </w:r>
      <w:r>
        <w:rPr>
          <w:rFonts w:cs="Arial"/>
          <w:color w:val="000066"/>
          <w:spacing w:val="-7"/>
        </w:rPr>
        <w:t xml:space="preserve"> </w:t>
      </w:r>
      <w:r>
        <w:rPr>
          <w:rFonts w:cs="Arial"/>
          <w:color w:val="000066"/>
          <w:spacing w:val="-1"/>
        </w:rPr>
        <w:t>the</w:t>
      </w:r>
      <w:r>
        <w:rPr>
          <w:rFonts w:cs="Arial"/>
          <w:color w:val="000066"/>
          <w:spacing w:val="-8"/>
        </w:rPr>
        <w:t xml:space="preserve"> </w:t>
      </w:r>
      <w:r>
        <w:rPr>
          <w:rFonts w:cs="Arial"/>
          <w:color w:val="000066"/>
          <w:spacing w:val="-1"/>
        </w:rPr>
        <w:t>organisation’s</w:t>
      </w:r>
      <w:r>
        <w:rPr>
          <w:rFonts w:cs="Arial"/>
          <w:color w:val="000066"/>
          <w:spacing w:val="-7"/>
        </w:rPr>
        <w:t xml:space="preserve"> </w:t>
      </w:r>
      <w:r>
        <w:rPr>
          <w:rFonts w:cs="Arial"/>
          <w:color w:val="000066"/>
        </w:rPr>
        <w:t>risk</w:t>
      </w:r>
      <w:r>
        <w:rPr>
          <w:rFonts w:cs="Arial"/>
          <w:color w:val="000066"/>
          <w:spacing w:val="-5"/>
        </w:rPr>
        <w:t xml:space="preserve"> </w:t>
      </w:r>
      <w:r>
        <w:rPr>
          <w:rFonts w:cs="Arial"/>
          <w:color w:val="000066"/>
        </w:rPr>
        <w:t>appetite</w:t>
      </w:r>
      <w:r>
        <w:rPr>
          <w:rFonts w:cs="Arial"/>
          <w:color w:val="000066"/>
          <w:spacing w:val="-8"/>
        </w:rPr>
        <w:t xml:space="preserve"> </w:t>
      </w:r>
      <w:r>
        <w:rPr>
          <w:rFonts w:cs="Arial"/>
          <w:color w:val="000066"/>
        </w:rPr>
        <w:t>framework.</w:t>
      </w:r>
    </w:p>
    <w:p w14:paraId="06BFBB61" w14:textId="77777777" w:rsidR="004D607D" w:rsidRDefault="004D607D" w:rsidP="004D607D">
      <w:pPr>
        <w:spacing w:before="8"/>
        <w:rPr>
          <w:rFonts w:eastAsia="Arial" w:cs="Arial"/>
          <w:sz w:val="10"/>
          <w:szCs w:val="10"/>
        </w:rPr>
      </w:pPr>
    </w:p>
    <w:p w14:paraId="0484219A" w14:textId="77777777" w:rsidR="004D607D" w:rsidRDefault="004D607D" w:rsidP="004D607D">
      <w:pPr>
        <w:spacing w:line="200" w:lineRule="atLeast"/>
        <w:ind w:left="1431"/>
        <w:rPr>
          <w:rFonts w:eastAsia="Arial" w:cs="Arial"/>
          <w:sz w:val="20"/>
          <w:szCs w:val="20"/>
        </w:rPr>
      </w:pPr>
      <w:r>
        <w:rPr>
          <w:rFonts w:eastAsia="Arial" w:cs="Arial"/>
          <w:noProof/>
          <w:sz w:val="20"/>
          <w:szCs w:val="20"/>
          <w:lang w:eastAsia="en-GB"/>
        </w:rPr>
        <w:drawing>
          <wp:inline distT="0" distB="0" distL="0" distR="0" wp14:anchorId="34CDA5A4" wp14:editId="5058677C">
            <wp:extent cx="4549494" cy="3518154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494" cy="351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CE9C" w14:textId="77777777" w:rsidR="004D607D" w:rsidRDefault="004D607D" w:rsidP="004D607D">
      <w:pPr>
        <w:pStyle w:val="BodyText"/>
        <w:spacing w:before="127"/>
        <w:jc w:val="both"/>
      </w:pPr>
      <w:r>
        <w:rPr>
          <w:color w:val="000066"/>
          <w:spacing w:val="-1"/>
          <w:u w:val="single" w:color="000066"/>
        </w:rPr>
        <w:t>Defining</w:t>
      </w:r>
      <w:r>
        <w:rPr>
          <w:color w:val="000066"/>
          <w:spacing w:val="-10"/>
          <w:u w:val="single" w:color="000066"/>
        </w:rPr>
        <w:t xml:space="preserve"> </w:t>
      </w:r>
      <w:r>
        <w:rPr>
          <w:color w:val="000066"/>
          <w:u w:val="single" w:color="000066"/>
        </w:rPr>
        <w:t>Risk</w:t>
      </w:r>
      <w:r>
        <w:rPr>
          <w:color w:val="000066"/>
          <w:spacing w:val="-7"/>
          <w:u w:val="single" w:color="000066"/>
        </w:rPr>
        <w:t xml:space="preserve"> </w:t>
      </w:r>
      <w:r>
        <w:rPr>
          <w:color w:val="000066"/>
          <w:spacing w:val="-1"/>
          <w:u w:val="single" w:color="000066"/>
        </w:rPr>
        <w:t>Appetite</w:t>
      </w:r>
    </w:p>
    <w:p w14:paraId="7F482350" w14:textId="77777777" w:rsidR="004D607D" w:rsidRDefault="004D607D" w:rsidP="004D607D">
      <w:pPr>
        <w:pStyle w:val="BodyText"/>
        <w:spacing w:before="120"/>
        <w:ind w:right="482"/>
        <w:jc w:val="both"/>
      </w:pPr>
      <w:r>
        <w:rPr>
          <w:color w:val="000066"/>
          <w:spacing w:val="1"/>
        </w:rPr>
        <w:t>The</w:t>
      </w:r>
      <w:r>
        <w:rPr>
          <w:color w:val="000066"/>
          <w:spacing w:val="15"/>
        </w:rPr>
        <w:t xml:space="preserve"> </w:t>
      </w:r>
      <w:r>
        <w:rPr>
          <w:color w:val="000066"/>
          <w:spacing w:val="-1"/>
        </w:rPr>
        <w:t>following</w:t>
      </w:r>
      <w:r>
        <w:rPr>
          <w:color w:val="000066"/>
          <w:spacing w:val="15"/>
        </w:rPr>
        <w:t xml:space="preserve"> </w:t>
      </w:r>
      <w:r>
        <w:rPr>
          <w:color w:val="000066"/>
        </w:rPr>
        <w:t>radar</w:t>
      </w:r>
      <w:r>
        <w:rPr>
          <w:color w:val="000066"/>
          <w:spacing w:val="17"/>
        </w:rPr>
        <w:t xml:space="preserve"> </w:t>
      </w:r>
      <w:r>
        <w:rPr>
          <w:color w:val="000066"/>
        </w:rPr>
        <w:t>graph</w:t>
      </w:r>
      <w:r>
        <w:rPr>
          <w:color w:val="000066"/>
          <w:spacing w:val="17"/>
        </w:rPr>
        <w:t xml:space="preserve"> </w:t>
      </w:r>
      <w:r>
        <w:rPr>
          <w:color w:val="000066"/>
        </w:rPr>
        <w:t>is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an</w:t>
      </w:r>
      <w:r>
        <w:rPr>
          <w:color w:val="000066"/>
          <w:spacing w:val="15"/>
        </w:rPr>
        <w:t xml:space="preserve"> </w:t>
      </w:r>
      <w:r>
        <w:rPr>
          <w:color w:val="000066"/>
          <w:spacing w:val="-1"/>
        </w:rPr>
        <w:t>effective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way</w:t>
      </w:r>
      <w:r>
        <w:rPr>
          <w:color w:val="000066"/>
          <w:spacing w:val="13"/>
        </w:rPr>
        <w:t xml:space="preserve"> </w:t>
      </w:r>
      <w:r>
        <w:rPr>
          <w:color w:val="000066"/>
        </w:rPr>
        <w:t>for</w:t>
      </w:r>
      <w:r>
        <w:rPr>
          <w:color w:val="000066"/>
          <w:spacing w:val="16"/>
        </w:rPr>
        <w:t xml:space="preserve"> </w:t>
      </w:r>
      <w:r>
        <w:rPr>
          <w:color w:val="000066"/>
        </w:rPr>
        <w:t>organisations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17"/>
        </w:rPr>
        <w:t xml:space="preserve"> </w:t>
      </w:r>
      <w:r>
        <w:rPr>
          <w:color w:val="000066"/>
          <w:spacing w:val="-1"/>
        </w:rPr>
        <w:t>begin</w:t>
      </w:r>
      <w:r>
        <w:rPr>
          <w:color w:val="000066"/>
          <w:spacing w:val="16"/>
        </w:rPr>
        <w:t xml:space="preserve"> </w:t>
      </w:r>
      <w:r>
        <w:rPr>
          <w:color w:val="000066"/>
        </w:rPr>
        <w:t>a</w:t>
      </w:r>
      <w:r>
        <w:rPr>
          <w:color w:val="000066"/>
          <w:spacing w:val="18"/>
        </w:rPr>
        <w:t xml:space="preserve"> </w:t>
      </w:r>
      <w:r>
        <w:rPr>
          <w:color w:val="000066"/>
        </w:rPr>
        <w:t>discussion</w:t>
      </w:r>
      <w:r>
        <w:rPr>
          <w:color w:val="000066"/>
          <w:spacing w:val="15"/>
        </w:rPr>
        <w:t xml:space="preserve"> </w:t>
      </w:r>
      <w:r>
        <w:rPr>
          <w:color w:val="000066"/>
        </w:rPr>
        <w:t>on</w:t>
      </w:r>
      <w:r>
        <w:rPr>
          <w:color w:val="000066"/>
          <w:spacing w:val="16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19"/>
        </w:rPr>
        <w:t xml:space="preserve"> </w:t>
      </w:r>
      <w:r>
        <w:rPr>
          <w:color w:val="000066"/>
          <w:spacing w:val="-1"/>
        </w:rPr>
        <w:t>appetite.</w:t>
      </w:r>
      <w:r>
        <w:rPr>
          <w:color w:val="000066"/>
          <w:spacing w:val="16"/>
        </w:rPr>
        <w:t xml:space="preserve"> </w:t>
      </w:r>
      <w:r>
        <w:rPr>
          <w:color w:val="000066"/>
          <w:spacing w:val="-1"/>
        </w:rPr>
        <w:t>Each</w:t>
      </w:r>
      <w:r>
        <w:rPr>
          <w:color w:val="000066"/>
          <w:spacing w:val="74"/>
          <w:w w:val="99"/>
        </w:rPr>
        <w:t xml:space="preserve"> </w:t>
      </w:r>
      <w:r>
        <w:rPr>
          <w:color w:val="000066"/>
        </w:rPr>
        <w:t>stakeholder</w:t>
      </w:r>
      <w:r>
        <w:rPr>
          <w:color w:val="000066"/>
          <w:spacing w:val="28"/>
        </w:rPr>
        <w:t xml:space="preserve"> </w:t>
      </w:r>
      <w:r>
        <w:rPr>
          <w:color w:val="000066"/>
          <w:spacing w:val="-1"/>
        </w:rPr>
        <w:t>is</w:t>
      </w:r>
      <w:r>
        <w:rPr>
          <w:color w:val="000066"/>
          <w:spacing w:val="26"/>
        </w:rPr>
        <w:t xml:space="preserve"> </w:t>
      </w:r>
      <w:r>
        <w:rPr>
          <w:color w:val="000066"/>
        </w:rPr>
        <w:t>requested</w:t>
      </w:r>
      <w:r>
        <w:rPr>
          <w:color w:val="000066"/>
          <w:spacing w:val="25"/>
        </w:rPr>
        <w:t xml:space="preserve"> </w:t>
      </w:r>
      <w:r>
        <w:rPr>
          <w:color w:val="000066"/>
          <w:spacing w:val="1"/>
        </w:rPr>
        <w:t>to</w:t>
      </w:r>
      <w:r>
        <w:rPr>
          <w:color w:val="000066"/>
          <w:spacing w:val="24"/>
        </w:rPr>
        <w:t xml:space="preserve"> </w:t>
      </w:r>
      <w:r>
        <w:rPr>
          <w:color w:val="000066"/>
        </w:rPr>
        <w:t>assess</w:t>
      </w:r>
      <w:r>
        <w:rPr>
          <w:color w:val="000066"/>
          <w:spacing w:val="27"/>
        </w:rPr>
        <w:t xml:space="preserve"> </w:t>
      </w:r>
      <w:r>
        <w:rPr>
          <w:color w:val="000066"/>
          <w:spacing w:val="-1"/>
        </w:rPr>
        <w:t>their</w:t>
      </w:r>
      <w:r>
        <w:rPr>
          <w:color w:val="000066"/>
          <w:spacing w:val="28"/>
        </w:rPr>
        <w:t xml:space="preserve"> </w:t>
      </w:r>
      <w:r>
        <w:rPr>
          <w:color w:val="000066"/>
          <w:spacing w:val="-1"/>
        </w:rPr>
        <w:t>perceived</w:t>
      </w:r>
      <w:r>
        <w:rPr>
          <w:color w:val="000066"/>
          <w:spacing w:val="24"/>
        </w:rPr>
        <w:t xml:space="preserve"> </w:t>
      </w:r>
      <w:r>
        <w:rPr>
          <w:color w:val="000066"/>
        </w:rPr>
        <w:t>current</w:t>
      </w:r>
      <w:r>
        <w:rPr>
          <w:color w:val="000066"/>
          <w:spacing w:val="25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28"/>
        </w:rPr>
        <w:t xml:space="preserve"> </w:t>
      </w:r>
      <w:r>
        <w:rPr>
          <w:color w:val="000066"/>
        </w:rPr>
        <w:t>appetite</w:t>
      </w:r>
      <w:r>
        <w:rPr>
          <w:color w:val="000066"/>
          <w:spacing w:val="26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27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28"/>
        </w:rPr>
        <w:t xml:space="preserve"> </w:t>
      </w:r>
      <w:r>
        <w:rPr>
          <w:color w:val="000066"/>
        </w:rPr>
        <w:t>organisation,</w:t>
      </w:r>
      <w:r>
        <w:rPr>
          <w:color w:val="000066"/>
          <w:spacing w:val="27"/>
        </w:rPr>
        <w:t xml:space="preserve"> </w:t>
      </w:r>
      <w:r>
        <w:rPr>
          <w:color w:val="000066"/>
        </w:rPr>
        <w:t>and</w:t>
      </w:r>
      <w:r>
        <w:rPr>
          <w:color w:val="000066"/>
          <w:spacing w:val="28"/>
        </w:rPr>
        <w:t xml:space="preserve"> </w:t>
      </w:r>
      <w:r>
        <w:rPr>
          <w:color w:val="000066"/>
          <w:spacing w:val="-1"/>
        </w:rPr>
        <w:t>also</w:t>
      </w:r>
      <w:r>
        <w:rPr>
          <w:color w:val="000066"/>
          <w:spacing w:val="26"/>
        </w:rPr>
        <w:t xml:space="preserve"> </w:t>
      </w:r>
      <w:r>
        <w:rPr>
          <w:color w:val="000066"/>
        </w:rPr>
        <w:t>their</w:t>
      </w:r>
      <w:r>
        <w:rPr>
          <w:color w:val="000066"/>
          <w:spacing w:val="50"/>
          <w:w w:val="99"/>
        </w:rPr>
        <w:t xml:space="preserve"> </w:t>
      </w:r>
      <w:r>
        <w:rPr>
          <w:color w:val="000066"/>
          <w:spacing w:val="-1"/>
        </w:rPr>
        <w:t>perceived</w:t>
      </w:r>
      <w:r>
        <w:rPr>
          <w:color w:val="000066"/>
          <w:spacing w:val="32"/>
        </w:rPr>
        <w:t xml:space="preserve"> </w:t>
      </w:r>
      <w:r>
        <w:rPr>
          <w:color w:val="000066"/>
        </w:rPr>
        <w:t>ideal</w:t>
      </w:r>
      <w:r>
        <w:rPr>
          <w:color w:val="000066"/>
          <w:spacing w:val="29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34"/>
        </w:rPr>
        <w:t xml:space="preserve"> </w:t>
      </w:r>
      <w:r>
        <w:rPr>
          <w:color w:val="000066"/>
        </w:rPr>
        <w:t>appetite,</w:t>
      </w:r>
      <w:r>
        <w:rPr>
          <w:color w:val="000066"/>
          <w:spacing w:val="30"/>
        </w:rPr>
        <w:t xml:space="preserve"> </w:t>
      </w:r>
      <w:r>
        <w:rPr>
          <w:color w:val="000066"/>
        </w:rPr>
        <w:t>for</w:t>
      </w:r>
      <w:r>
        <w:rPr>
          <w:color w:val="000066"/>
          <w:spacing w:val="31"/>
        </w:rPr>
        <w:t xml:space="preserve"> </w:t>
      </w:r>
      <w:r>
        <w:rPr>
          <w:color w:val="000066"/>
        </w:rPr>
        <w:t>a</w:t>
      </w:r>
      <w:r>
        <w:rPr>
          <w:color w:val="000066"/>
          <w:spacing w:val="30"/>
        </w:rPr>
        <w:t xml:space="preserve"> </w:t>
      </w:r>
      <w:r>
        <w:rPr>
          <w:color w:val="000066"/>
        </w:rPr>
        <w:t>range</w:t>
      </w:r>
      <w:r>
        <w:rPr>
          <w:color w:val="000066"/>
          <w:spacing w:val="32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32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34"/>
        </w:rPr>
        <w:t xml:space="preserve"> </w:t>
      </w:r>
      <w:r>
        <w:rPr>
          <w:color w:val="000066"/>
        </w:rPr>
        <w:t>themes.</w:t>
      </w:r>
      <w:r>
        <w:rPr>
          <w:color w:val="000066"/>
          <w:spacing w:val="30"/>
        </w:rPr>
        <w:t xml:space="preserve"> </w:t>
      </w:r>
      <w:r>
        <w:rPr>
          <w:color w:val="000066"/>
        </w:rPr>
        <w:t>This</w:t>
      </w:r>
      <w:r>
        <w:rPr>
          <w:color w:val="000066"/>
          <w:spacing w:val="31"/>
        </w:rPr>
        <w:t xml:space="preserve"> </w:t>
      </w:r>
      <w:r>
        <w:rPr>
          <w:color w:val="000066"/>
        </w:rPr>
        <w:t>can</w:t>
      </w:r>
      <w:r>
        <w:rPr>
          <w:color w:val="000066"/>
          <w:spacing w:val="30"/>
        </w:rPr>
        <w:t xml:space="preserve"> </w:t>
      </w:r>
      <w:r>
        <w:rPr>
          <w:color w:val="000066"/>
          <w:spacing w:val="-1"/>
        </w:rPr>
        <w:t>then</w:t>
      </w:r>
      <w:r>
        <w:rPr>
          <w:color w:val="000066"/>
          <w:spacing w:val="32"/>
        </w:rPr>
        <w:t xml:space="preserve"> </w:t>
      </w:r>
      <w:r>
        <w:rPr>
          <w:color w:val="000066"/>
        </w:rPr>
        <w:t>be</w:t>
      </w:r>
      <w:r>
        <w:rPr>
          <w:color w:val="000066"/>
          <w:spacing w:val="30"/>
        </w:rPr>
        <w:t xml:space="preserve"> </w:t>
      </w:r>
      <w:r>
        <w:rPr>
          <w:color w:val="000066"/>
        </w:rPr>
        <w:t>consolidated</w:t>
      </w:r>
      <w:r>
        <w:rPr>
          <w:color w:val="000066"/>
          <w:spacing w:val="31"/>
        </w:rPr>
        <w:t xml:space="preserve"> </w:t>
      </w:r>
      <w:r>
        <w:rPr>
          <w:color w:val="000066"/>
          <w:spacing w:val="1"/>
        </w:rPr>
        <w:t>to</w:t>
      </w:r>
      <w:r>
        <w:rPr>
          <w:color w:val="000066"/>
          <w:spacing w:val="30"/>
        </w:rPr>
        <w:t xml:space="preserve"> </w:t>
      </w:r>
      <w:r>
        <w:rPr>
          <w:color w:val="000066"/>
        </w:rPr>
        <w:t>show</w:t>
      </w:r>
      <w:r>
        <w:rPr>
          <w:color w:val="000066"/>
          <w:spacing w:val="33"/>
        </w:rPr>
        <w:t xml:space="preserve"> </w:t>
      </w:r>
      <w:r>
        <w:rPr>
          <w:color w:val="000066"/>
          <w:spacing w:val="-1"/>
        </w:rPr>
        <w:t>whether</w:t>
      </w:r>
      <w:r>
        <w:rPr>
          <w:color w:val="000066"/>
          <w:spacing w:val="56"/>
          <w:w w:val="99"/>
        </w:rPr>
        <w:t xml:space="preserve"> </w:t>
      </w:r>
      <w:r>
        <w:rPr>
          <w:color w:val="000066"/>
          <w:spacing w:val="-1"/>
        </w:rPr>
        <w:t>stakeholders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believe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too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much</w:t>
      </w:r>
      <w:r>
        <w:rPr>
          <w:color w:val="000066"/>
          <w:spacing w:val="-5"/>
        </w:rPr>
        <w:t xml:space="preserve"> </w:t>
      </w:r>
      <w:r>
        <w:rPr>
          <w:color w:val="000066"/>
          <w:spacing w:val="-1"/>
        </w:rPr>
        <w:t>or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too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-1"/>
        </w:rPr>
        <w:t>little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2"/>
        </w:rPr>
        <w:t xml:space="preserve"> </w:t>
      </w:r>
      <w:r>
        <w:rPr>
          <w:color w:val="000066"/>
          <w:spacing w:val="-1"/>
        </w:rPr>
        <w:t>is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taken.</w:t>
      </w:r>
    </w:p>
    <w:p w14:paraId="0D7FC2CE" w14:textId="77777777" w:rsidR="004D607D" w:rsidRDefault="004D607D" w:rsidP="004D607D">
      <w:pPr>
        <w:pStyle w:val="BodyText"/>
        <w:spacing w:before="120" w:line="363" w:lineRule="auto"/>
        <w:ind w:right="8829"/>
      </w:pPr>
      <w:r>
        <w:rPr>
          <w:color w:val="000066"/>
        </w:rPr>
        <w:t>1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=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-2"/>
        </w:rPr>
        <w:t xml:space="preserve"> </w:t>
      </w:r>
      <w:r>
        <w:rPr>
          <w:color w:val="000066"/>
          <w:spacing w:val="-1"/>
        </w:rPr>
        <w:t>averse</w:t>
      </w:r>
      <w:r>
        <w:rPr>
          <w:color w:val="000066"/>
          <w:spacing w:val="25"/>
          <w:w w:val="99"/>
        </w:rPr>
        <w:t xml:space="preserve"> </w:t>
      </w:r>
      <w:r>
        <w:rPr>
          <w:color w:val="000066"/>
        </w:rPr>
        <w:t>5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=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hungry</w:t>
      </w:r>
    </w:p>
    <w:p w14:paraId="79610D5C" w14:textId="77777777" w:rsidR="004D607D" w:rsidRDefault="004D607D" w:rsidP="004D607D">
      <w:pPr>
        <w:spacing w:line="200" w:lineRule="atLeast"/>
        <w:ind w:left="140"/>
        <w:rPr>
          <w:rFonts w:eastAsia="Arial" w:cs="Arial"/>
          <w:sz w:val="20"/>
          <w:szCs w:val="20"/>
        </w:rPr>
        <w:sectPr w:rsidR="004D607D" w:rsidSect="00AA7527">
          <w:headerReference w:type="default" r:id="rId14"/>
          <w:footerReference w:type="default" r:id="rId15"/>
          <w:pgSz w:w="11910" w:h="16850"/>
          <w:pgMar w:top="720" w:right="720" w:bottom="720" w:left="720" w:header="0" w:footer="1075" w:gutter="0"/>
          <w:cols w:space="720"/>
          <w:docGrid w:linePitch="299"/>
        </w:sectPr>
      </w:pPr>
      <w:r>
        <w:rPr>
          <w:rFonts w:eastAsia="Arial" w:cs="Arial"/>
          <w:noProof/>
          <w:sz w:val="20"/>
          <w:szCs w:val="20"/>
          <w:lang w:eastAsia="en-GB"/>
        </w:rPr>
        <w:drawing>
          <wp:inline distT="0" distB="0" distL="0" distR="0" wp14:anchorId="6A86D0E4" wp14:editId="5108BAA8">
            <wp:extent cx="6408216" cy="2757678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216" cy="275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68ED" w14:textId="77777777" w:rsidR="004D607D" w:rsidRDefault="004D607D" w:rsidP="004D607D">
      <w:pPr>
        <w:pStyle w:val="BodyText"/>
        <w:spacing w:before="74"/>
        <w:ind w:left="146" w:right="171"/>
      </w:pPr>
      <w:r>
        <w:rPr>
          <w:color w:val="000066"/>
          <w:spacing w:val="1"/>
        </w:rPr>
        <w:lastRenderedPageBreak/>
        <w:t>The</w:t>
      </w:r>
      <w:r>
        <w:rPr>
          <w:color w:val="000066"/>
        </w:rPr>
        <w:t xml:space="preserve"> </w:t>
      </w:r>
      <w:r>
        <w:rPr>
          <w:color w:val="000066"/>
          <w:spacing w:val="-1"/>
        </w:rPr>
        <w:t>following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framework</w:t>
      </w:r>
      <w:r>
        <w:rPr>
          <w:color w:val="000066"/>
          <w:spacing w:val="5"/>
        </w:rPr>
        <w:t xml:space="preserve"> </w:t>
      </w:r>
      <w:r>
        <w:rPr>
          <w:color w:val="000066"/>
        </w:rPr>
        <w:t>from</w:t>
      </w:r>
      <w:r>
        <w:rPr>
          <w:color w:val="000066"/>
          <w:spacing w:val="5"/>
        </w:rPr>
        <w:t xml:space="preserve"> </w:t>
      </w:r>
      <w:r>
        <w:rPr>
          <w:color w:val="000066"/>
        </w:rPr>
        <w:t xml:space="preserve">the </w:t>
      </w:r>
      <w:r>
        <w:rPr>
          <w:color w:val="000066"/>
          <w:spacing w:val="-1"/>
        </w:rPr>
        <w:t>public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sector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describes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attitudes</w:t>
      </w:r>
      <w:r>
        <w:rPr>
          <w:color w:val="000066"/>
          <w:spacing w:val="4"/>
        </w:rPr>
        <w:t xml:space="preserve"> </w:t>
      </w:r>
      <w:r>
        <w:rPr>
          <w:color w:val="000066"/>
        </w:rPr>
        <w:t>and</w:t>
      </w:r>
      <w:r>
        <w:rPr>
          <w:color w:val="000066"/>
          <w:spacing w:val="1"/>
        </w:rPr>
        <w:t xml:space="preserve"> </w:t>
      </w:r>
      <w:r>
        <w:rPr>
          <w:color w:val="000066"/>
          <w:spacing w:val="-1"/>
        </w:rPr>
        <w:t>behaviours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4"/>
        </w:rPr>
        <w:t xml:space="preserve"> </w:t>
      </w:r>
      <w:r>
        <w:rPr>
          <w:color w:val="000066"/>
        </w:rPr>
        <w:t>appetite should</w:t>
      </w:r>
      <w:r>
        <w:rPr>
          <w:color w:val="000066"/>
          <w:spacing w:val="3"/>
        </w:rPr>
        <w:t xml:space="preserve"> </w:t>
      </w:r>
      <w:r>
        <w:rPr>
          <w:color w:val="000066"/>
          <w:spacing w:val="-1"/>
        </w:rPr>
        <w:t>give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rise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f</w:t>
      </w:r>
      <w:r>
        <w:rPr>
          <w:color w:val="000066"/>
          <w:spacing w:val="-39"/>
        </w:rPr>
        <w:t xml:space="preserve"> </w:t>
      </w:r>
      <w:r>
        <w:rPr>
          <w:color w:val="000066"/>
        </w:rPr>
        <w:t>or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each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4"/>
        </w:rPr>
        <w:t xml:space="preserve"> </w:t>
      </w:r>
      <w:r>
        <w:rPr>
          <w:color w:val="000066"/>
          <w:spacing w:val="-1"/>
        </w:rPr>
        <w:t>category.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This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framework</w:t>
      </w:r>
      <w:r>
        <w:rPr>
          <w:color w:val="000066"/>
          <w:spacing w:val="2"/>
        </w:rPr>
        <w:t xml:space="preserve"> </w:t>
      </w:r>
      <w:r>
        <w:rPr>
          <w:color w:val="000066"/>
          <w:spacing w:val="1"/>
        </w:rPr>
        <w:t>may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be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useful</w:t>
      </w:r>
      <w:r>
        <w:rPr>
          <w:color w:val="000066"/>
          <w:spacing w:val="90"/>
          <w:w w:val="99"/>
        </w:rPr>
        <w:t xml:space="preserve"> </w:t>
      </w:r>
      <w:r>
        <w:rPr>
          <w:color w:val="000066"/>
        </w:rPr>
        <w:t>when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assessing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adequacy</w:t>
      </w:r>
      <w:r>
        <w:rPr>
          <w:color w:val="000066"/>
          <w:spacing w:val="-9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-4"/>
        </w:rPr>
        <w:t xml:space="preserve"> </w:t>
      </w:r>
      <w:r>
        <w:rPr>
          <w:color w:val="000066"/>
          <w:spacing w:val="-1"/>
        </w:rPr>
        <w:t>the</w:t>
      </w:r>
      <w:r>
        <w:rPr>
          <w:color w:val="000066"/>
          <w:spacing w:val="-5"/>
        </w:rPr>
        <w:t xml:space="preserve"> </w:t>
      </w:r>
      <w:r>
        <w:rPr>
          <w:color w:val="000066"/>
          <w:spacing w:val="-1"/>
        </w:rPr>
        <w:t>responses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-1"/>
        </w:rPr>
        <w:t>and</w:t>
      </w:r>
      <w:r>
        <w:rPr>
          <w:color w:val="000066"/>
          <w:spacing w:val="-4"/>
        </w:rPr>
        <w:t xml:space="preserve"> </w:t>
      </w:r>
      <w:r>
        <w:rPr>
          <w:color w:val="000066"/>
          <w:spacing w:val="-1"/>
        </w:rPr>
        <w:t>in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communicating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Councils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-2"/>
        </w:rPr>
        <w:t xml:space="preserve"> </w:t>
      </w:r>
      <w:r>
        <w:rPr>
          <w:color w:val="000066"/>
          <w:spacing w:val="-1"/>
        </w:rPr>
        <w:t>appetite</w:t>
      </w:r>
      <w:r>
        <w:rPr>
          <w:color w:val="000066"/>
          <w:spacing w:val="-7"/>
        </w:rPr>
        <w:t xml:space="preserve"> </w:t>
      </w:r>
      <w:r>
        <w:rPr>
          <w:color w:val="000066"/>
          <w:spacing w:val="1"/>
        </w:rPr>
        <w:t>to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-5"/>
        </w:rPr>
        <w:t xml:space="preserve"> </w:t>
      </w:r>
      <w:r>
        <w:rPr>
          <w:color w:val="000066"/>
          <w:spacing w:val="-1"/>
        </w:rPr>
        <w:t>whole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organisation.</w:t>
      </w:r>
    </w:p>
    <w:p w14:paraId="10A81229" w14:textId="77777777" w:rsidR="004D607D" w:rsidRDefault="004D607D" w:rsidP="004D607D">
      <w:pPr>
        <w:spacing w:before="6"/>
        <w:rPr>
          <w:rFonts w:eastAsia="Arial" w:cs="Arial"/>
          <w:sz w:val="6"/>
          <w:szCs w:val="6"/>
        </w:rPr>
      </w:pPr>
    </w:p>
    <w:p w14:paraId="1ACD5C01" w14:textId="77777777" w:rsidR="004D607D" w:rsidRDefault="004D607D" w:rsidP="004D607D">
      <w:pPr>
        <w:spacing w:line="200" w:lineRule="atLeast"/>
        <w:ind w:left="168"/>
        <w:rPr>
          <w:rFonts w:eastAsia="Arial" w:cs="Arial"/>
          <w:sz w:val="20"/>
          <w:szCs w:val="20"/>
        </w:rPr>
      </w:pPr>
      <w:r>
        <w:rPr>
          <w:rFonts w:eastAsia="Arial" w:cs="Arial"/>
          <w:noProof/>
          <w:sz w:val="20"/>
          <w:szCs w:val="20"/>
          <w:lang w:eastAsia="en-GB"/>
        </w:rPr>
        <w:drawing>
          <wp:inline distT="0" distB="0" distL="0" distR="0" wp14:anchorId="56ED9439" wp14:editId="735C3CB3">
            <wp:extent cx="8974183" cy="5550942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9879" cy="555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F532D" w14:textId="77777777" w:rsidR="004D607D" w:rsidRDefault="004D607D" w:rsidP="004D607D">
      <w:pPr>
        <w:spacing w:line="200" w:lineRule="atLeast"/>
        <w:rPr>
          <w:rFonts w:eastAsia="Arial" w:cs="Arial"/>
          <w:sz w:val="20"/>
          <w:szCs w:val="20"/>
        </w:rPr>
        <w:sectPr w:rsidR="004D607D">
          <w:footerReference w:type="default" r:id="rId18"/>
          <w:pgSz w:w="16850" w:h="11910" w:orient="landscape"/>
          <w:pgMar w:top="1100" w:right="400" w:bottom="1040" w:left="420" w:header="0" w:footer="845" w:gutter="0"/>
          <w:pgNumType w:start="12"/>
          <w:cols w:space="720"/>
        </w:sectPr>
      </w:pPr>
    </w:p>
    <w:p w14:paraId="2536C3C2" w14:textId="77777777" w:rsidR="004D607D" w:rsidRDefault="004D607D" w:rsidP="004D607D">
      <w:pPr>
        <w:pStyle w:val="BodyText"/>
        <w:spacing w:before="74"/>
        <w:ind w:left="146"/>
      </w:pPr>
      <w:r>
        <w:rPr>
          <w:color w:val="000066"/>
          <w:spacing w:val="1"/>
        </w:rPr>
        <w:lastRenderedPageBreak/>
        <w:t>The</w:t>
      </w:r>
      <w:r>
        <w:rPr>
          <w:color w:val="000066"/>
          <w:spacing w:val="-7"/>
        </w:rPr>
        <w:t xml:space="preserve"> </w:t>
      </w:r>
      <w:r>
        <w:rPr>
          <w:color w:val="000066"/>
          <w:spacing w:val="-1"/>
        </w:rPr>
        <w:t>following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-1"/>
        </w:rPr>
        <w:t>diagram</w:t>
      </w:r>
      <w:r>
        <w:rPr>
          <w:color w:val="000066"/>
          <w:spacing w:val="-2"/>
        </w:rPr>
        <w:t xml:space="preserve"> </w:t>
      </w:r>
      <w:r>
        <w:rPr>
          <w:color w:val="000066"/>
          <w:spacing w:val="-1"/>
        </w:rPr>
        <w:t>illustrates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how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defining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-3"/>
        </w:rPr>
        <w:t xml:space="preserve"> </w:t>
      </w:r>
      <w:r>
        <w:rPr>
          <w:color w:val="000066"/>
          <w:spacing w:val="-1"/>
        </w:rPr>
        <w:t>appetite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can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-1"/>
        </w:rPr>
        <w:t>add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sophistication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consideration</w:t>
      </w:r>
      <w:r>
        <w:rPr>
          <w:color w:val="000066"/>
          <w:spacing w:val="-7"/>
        </w:rPr>
        <w:t xml:space="preserve"> </w:t>
      </w:r>
      <w:r>
        <w:rPr>
          <w:color w:val="000066"/>
          <w:spacing w:val="-1"/>
        </w:rPr>
        <w:t>of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risk</w:t>
      </w:r>
      <w:r>
        <w:rPr>
          <w:color w:val="000066"/>
          <w:spacing w:val="-6"/>
        </w:rPr>
        <w:t xml:space="preserve"> </w:t>
      </w:r>
      <w:r>
        <w:rPr>
          <w:color w:val="000066"/>
          <w:spacing w:val="-1"/>
        </w:rPr>
        <w:t>levels:</w:t>
      </w:r>
    </w:p>
    <w:p w14:paraId="4100BE39" w14:textId="77777777" w:rsidR="004D607D" w:rsidRDefault="004D607D" w:rsidP="004D607D">
      <w:pPr>
        <w:rPr>
          <w:rFonts w:eastAsia="Arial" w:cs="Arial"/>
          <w:sz w:val="20"/>
          <w:szCs w:val="20"/>
        </w:rPr>
      </w:pPr>
    </w:p>
    <w:p w14:paraId="548E54E4" w14:textId="77777777" w:rsidR="004D607D" w:rsidRDefault="004D607D" w:rsidP="004D607D">
      <w:pPr>
        <w:rPr>
          <w:rFonts w:eastAsia="Arial" w:cs="Arial"/>
          <w:sz w:val="20"/>
          <w:szCs w:val="20"/>
        </w:rPr>
      </w:pPr>
    </w:p>
    <w:p w14:paraId="735B93E7" w14:textId="77777777" w:rsidR="004D607D" w:rsidRDefault="004D607D" w:rsidP="004D607D">
      <w:pPr>
        <w:rPr>
          <w:rFonts w:eastAsia="Arial" w:cs="Arial"/>
          <w:sz w:val="20"/>
          <w:szCs w:val="20"/>
        </w:rPr>
      </w:pPr>
    </w:p>
    <w:p w14:paraId="1B460666" w14:textId="77777777" w:rsidR="004D607D" w:rsidRDefault="004D607D" w:rsidP="004D607D">
      <w:pPr>
        <w:rPr>
          <w:rFonts w:eastAsia="Arial" w:cs="Arial"/>
          <w:sz w:val="20"/>
          <w:szCs w:val="20"/>
        </w:rPr>
      </w:pPr>
    </w:p>
    <w:p w14:paraId="687025BC" w14:textId="77777777" w:rsidR="004D607D" w:rsidRDefault="004D607D" w:rsidP="004D607D">
      <w:pPr>
        <w:spacing w:line="200" w:lineRule="atLeast"/>
        <w:ind w:left="1190"/>
      </w:pPr>
      <w:r>
        <w:rPr>
          <w:rFonts w:eastAsia="Arial" w:cs="Arial"/>
          <w:noProof/>
          <w:sz w:val="20"/>
          <w:szCs w:val="20"/>
          <w:lang w:eastAsia="en-GB"/>
        </w:rPr>
        <w:drawing>
          <wp:inline distT="0" distB="0" distL="0" distR="0" wp14:anchorId="349191BE" wp14:editId="4F910375">
            <wp:extent cx="8627093" cy="3824287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093" cy="38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47D5B" w14:textId="77777777" w:rsidR="00B35A55" w:rsidRDefault="00B35A55" w:rsidP="004D607D"/>
    <w:sectPr w:rsidR="00B35A55" w:rsidSect="004D60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710E" w14:textId="77777777" w:rsidR="006440CE" w:rsidRDefault="006440CE" w:rsidP="00786F71">
      <w:r>
        <w:separator/>
      </w:r>
    </w:p>
  </w:endnote>
  <w:endnote w:type="continuationSeparator" w:id="0">
    <w:p w14:paraId="2EA19642" w14:textId="77777777" w:rsidR="006440CE" w:rsidRDefault="006440CE" w:rsidP="0078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7986" w14:textId="77777777" w:rsidR="00A52313" w:rsidRDefault="00770903" w:rsidP="00A52313">
    <w:pPr>
      <w:pStyle w:val="Footer"/>
      <w:jc w:val="right"/>
    </w:pPr>
    <w:r>
      <w:t>Date for Review:   Oct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1869" w14:textId="77777777" w:rsidR="004D607D" w:rsidRPr="004D607D" w:rsidRDefault="004D607D" w:rsidP="004D6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266C" w14:textId="77777777" w:rsidR="004D607D" w:rsidRDefault="004D607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380C" w14:textId="77777777" w:rsidR="006440CE" w:rsidRDefault="006440CE" w:rsidP="00786F71">
      <w:r>
        <w:separator/>
      </w:r>
    </w:p>
  </w:footnote>
  <w:footnote w:type="continuationSeparator" w:id="0">
    <w:p w14:paraId="0210463D" w14:textId="77777777" w:rsidR="006440CE" w:rsidRDefault="006440CE" w:rsidP="0078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8401" w14:textId="77777777" w:rsidR="00F739C3" w:rsidRDefault="00770903" w:rsidP="005A6D7F">
    <w:pPr>
      <w:pStyle w:val="Header"/>
      <w:jc w:val="right"/>
    </w:pPr>
    <w:r>
      <w:t>Appendix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095A" w14:textId="77777777" w:rsidR="004D607D" w:rsidRPr="004D607D" w:rsidRDefault="004D607D" w:rsidP="004D6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1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54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E50B46"/>
    <w:multiLevelType w:val="hybridMultilevel"/>
    <w:tmpl w:val="486E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9B3"/>
    <w:multiLevelType w:val="hybridMultilevel"/>
    <w:tmpl w:val="2CE4B6C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5C44D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5E24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B"/>
    <w:rsid w:val="00000F03"/>
    <w:rsid w:val="000010F3"/>
    <w:rsid w:val="00003A06"/>
    <w:rsid w:val="000053F2"/>
    <w:rsid w:val="00005409"/>
    <w:rsid w:val="000055D5"/>
    <w:rsid w:val="00005B11"/>
    <w:rsid w:val="00005ECA"/>
    <w:rsid w:val="00006183"/>
    <w:rsid w:val="000068EE"/>
    <w:rsid w:val="00007DA2"/>
    <w:rsid w:val="00010735"/>
    <w:rsid w:val="00012A48"/>
    <w:rsid w:val="00014E94"/>
    <w:rsid w:val="00016748"/>
    <w:rsid w:val="000200A6"/>
    <w:rsid w:val="00020226"/>
    <w:rsid w:val="00020271"/>
    <w:rsid w:val="0002062B"/>
    <w:rsid w:val="00020BB0"/>
    <w:rsid w:val="00021D59"/>
    <w:rsid w:val="000220E6"/>
    <w:rsid w:val="0002366C"/>
    <w:rsid w:val="00024E3B"/>
    <w:rsid w:val="00025CE2"/>
    <w:rsid w:val="00027BA8"/>
    <w:rsid w:val="000310A0"/>
    <w:rsid w:val="000359AF"/>
    <w:rsid w:val="00037D5F"/>
    <w:rsid w:val="00041BB9"/>
    <w:rsid w:val="00041F18"/>
    <w:rsid w:val="0004219B"/>
    <w:rsid w:val="0004395C"/>
    <w:rsid w:val="0004700D"/>
    <w:rsid w:val="000507A4"/>
    <w:rsid w:val="0005490E"/>
    <w:rsid w:val="00054DD2"/>
    <w:rsid w:val="00060DA4"/>
    <w:rsid w:val="000617F9"/>
    <w:rsid w:val="00061BE2"/>
    <w:rsid w:val="000639FD"/>
    <w:rsid w:val="00063E2C"/>
    <w:rsid w:val="00067E3B"/>
    <w:rsid w:val="00072692"/>
    <w:rsid w:val="00074EBC"/>
    <w:rsid w:val="000773AB"/>
    <w:rsid w:val="00081CB1"/>
    <w:rsid w:val="00083B12"/>
    <w:rsid w:val="00083EB4"/>
    <w:rsid w:val="00084C74"/>
    <w:rsid w:val="00087DE8"/>
    <w:rsid w:val="0009020B"/>
    <w:rsid w:val="00093A2B"/>
    <w:rsid w:val="00094514"/>
    <w:rsid w:val="00094BDA"/>
    <w:rsid w:val="0009551D"/>
    <w:rsid w:val="000969B2"/>
    <w:rsid w:val="00096B77"/>
    <w:rsid w:val="000A19D3"/>
    <w:rsid w:val="000A1E73"/>
    <w:rsid w:val="000A2488"/>
    <w:rsid w:val="000A48F2"/>
    <w:rsid w:val="000A5B76"/>
    <w:rsid w:val="000B0368"/>
    <w:rsid w:val="000B0F75"/>
    <w:rsid w:val="000B371B"/>
    <w:rsid w:val="000B6B40"/>
    <w:rsid w:val="000C2408"/>
    <w:rsid w:val="000C6076"/>
    <w:rsid w:val="000D02D7"/>
    <w:rsid w:val="000D0D37"/>
    <w:rsid w:val="000D2909"/>
    <w:rsid w:val="000D2E89"/>
    <w:rsid w:val="000D3FA8"/>
    <w:rsid w:val="000D6691"/>
    <w:rsid w:val="000D6E61"/>
    <w:rsid w:val="000D7E45"/>
    <w:rsid w:val="000E0061"/>
    <w:rsid w:val="000E0155"/>
    <w:rsid w:val="000E0597"/>
    <w:rsid w:val="000E09CB"/>
    <w:rsid w:val="000E4375"/>
    <w:rsid w:val="000E526B"/>
    <w:rsid w:val="000E62B9"/>
    <w:rsid w:val="000F1CD3"/>
    <w:rsid w:val="000F2B08"/>
    <w:rsid w:val="000F3F6B"/>
    <w:rsid w:val="000F5939"/>
    <w:rsid w:val="000F6242"/>
    <w:rsid w:val="0010304B"/>
    <w:rsid w:val="00103485"/>
    <w:rsid w:val="00105071"/>
    <w:rsid w:val="001053C6"/>
    <w:rsid w:val="00113705"/>
    <w:rsid w:val="00115778"/>
    <w:rsid w:val="00116FBD"/>
    <w:rsid w:val="00121CA3"/>
    <w:rsid w:val="00130DB0"/>
    <w:rsid w:val="001310AC"/>
    <w:rsid w:val="00134BD9"/>
    <w:rsid w:val="00136794"/>
    <w:rsid w:val="0013780B"/>
    <w:rsid w:val="0014000F"/>
    <w:rsid w:val="00141A93"/>
    <w:rsid w:val="00142E4F"/>
    <w:rsid w:val="001443C1"/>
    <w:rsid w:val="0014552B"/>
    <w:rsid w:val="00145BAB"/>
    <w:rsid w:val="0014687D"/>
    <w:rsid w:val="00146C11"/>
    <w:rsid w:val="00147284"/>
    <w:rsid w:val="00150256"/>
    <w:rsid w:val="0015282E"/>
    <w:rsid w:val="0015583C"/>
    <w:rsid w:val="00157420"/>
    <w:rsid w:val="0016685A"/>
    <w:rsid w:val="0017136E"/>
    <w:rsid w:val="00173393"/>
    <w:rsid w:val="0017452E"/>
    <w:rsid w:val="00174D11"/>
    <w:rsid w:val="00176244"/>
    <w:rsid w:val="00180642"/>
    <w:rsid w:val="00181235"/>
    <w:rsid w:val="00183EFB"/>
    <w:rsid w:val="00187DA4"/>
    <w:rsid w:val="00191898"/>
    <w:rsid w:val="00195296"/>
    <w:rsid w:val="00195E78"/>
    <w:rsid w:val="00196CDD"/>
    <w:rsid w:val="001A004F"/>
    <w:rsid w:val="001A2384"/>
    <w:rsid w:val="001A4332"/>
    <w:rsid w:val="001A6913"/>
    <w:rsid w:val="001A7788"/>
    <w:rsid w:val="001A79F6"/>
    <w:rsid w:val="001B0DC0"/>
    <w:rsid w:val="001B18B3"/>
    <w:rsid w:val="001B28F9"/>
    <w:rsid w:val="001B346C"/>
    <w:rsid w:val="001B64FD"/>
    <w:rsid w:val="001B6C83"/>
    <w:rsid w:val="001B7BCF"/>
    <w:rsid w:val="001B7F36"/>
    <w:rsid w:val="001C0382"/>
    <w:rsid w:val="001C1A65"/>
    <w:rsid w:val="001C3F04"/>
    <w:rsid w:val="001C7D5C"/>
    <w:rsid w:val="001D0729"/>
    <w:rsid w:val="001D4113"/>
    <w:rsid w:val="001D534A"/>
    <w:rsid w:val="001D70E8"/>
    <w:rsid w:val="001D79BB"/>
    <w:rsid w:val="001E10CF"/>
    <w:rsid w:val="001E6163"/>
    <w:rsid w:val="001E6B43"/>
    <w:rsid w:val="001E6FBD"/>
    <w:rsid w:val="001E7F5B"/>
    <w:rsid w:val="001F4B1D"/>
    <w:rsid w:val="001F4BEB"/>
    <w:rsid w:val="001F587D"/>
    <w:rsid w:val="001F7C21"/>
    <w:rsid w:val="00205212"/>
    <w:rsid w:val="0020619A"/>
    <w:rsid w:val="0021211E"/>
    <w:rsid w:val="0021424F"/>
    <w:rsid w:val="00214424"/>
    <w:rsid w:val="00216AC6"/>
    <w:rsid w:val="00220366"/>
    <w:rsid w:val="002219FB"/>
    <w:rsid w:val="00222A0C"/>
    <w:rsid w:val="002240DE"/>
    <w:rsid w:val="00224955"/>
    <w:rsid w:val="0022650B"/>
    <w:rsid w:val="00226A0D"/>
    <w:rsid w:val="002324C7"/>
    <w:rsid w:val="00233505"/>
    <w:rsid w:val="00234C2F"/>
    <w:rsid w:val="00237FB9"/>
    <w:rsid w:val="002417CA"/>
    <w:rsid w:val="002454F0"/>
    <w:rsid w:val="00245A1D"/>
    <w:rsid w:val="00250931"/>
    <w:rsid w:val="00251319"/>
    <w:rsid w:val="0025472A"/>
    <w:rsid w:val="0025478E"/>
    <w:rsid w:val="00261157"/>
    <w:rsid w:val="00261E59"/>
    <w:rsid w:val="00262BDB"/>
    <w:rsid w:val="00263416"/>
    <w:rsid w:val="00271C13"/>
    <w:rsid w:val="00272265"/>
    <w:rsid w:val="00272DCC"/>
    <w:rsid w:val="0027478A"/>
    <w:rsid w:val="00275B3B"/>
    <w:rsid w:val="00277F69"/>
    <w:rsid w:val="0028487B"/>
    <w:rsid w:val="00285969"/>
    <w:rsid w:val="002906E7"/>
    <w:rsid w:val="0029298A"/>
    <w:rsid w:val="00294E4C"/>
    <w:rsid w:val="002955AF"/>
    <w:rsid w:val="00295A96"/>
    <w:rsid w:val="002A0C4C"/>
    <w:rsid w:val="002A2F64"/>
    <w:rsid w:val="002A3E4A"/>
    <w:rsid w:val="002B4E00"/>
    <w:rsid w:val="002C68C2"/>
    <w:rsid w:val="002C7A36"/>
    <w:rsid w:val="002D2615"/>
    <w:rsid w:val="002D29B3"/>
    <w:rsid w:val="002D3B8B"/>
    <w:rsid w:val="002D6D49"/>
    <w:rsid w:val="002E12DC"/>
    <w:rsid w:val="002E1B01"/>
    <w:rsid w:val="002E49CC"/>
    <w:rsid w:val="002E4E8C"/>
    <w:rsid w:val="002E532D"/>
    <w:rsid w:val="002E6F7B"/>
    <w:rsid w:val="002F52EC"/>
    <w:rsid w:val="002F5E10"/>
    <w:rsid w:val="002F7025"/>
    <w:rsid w:val="00300412"/>
    <w:rsid w:val="00300926"/>
    <w:rsid w:val="0030186C"/>
    <w:rsid w:val="00302A46"/>
    <w:rsid w:val="0031447B"/>
    <w:rsid w:val="003148BD"/>
    <w:rsid w:val="00316C0A"/>
    <w:rsid w:val="003175CF"/>
    <w:rsid w:val="00324BA5"/>
    <w:rsid w:val="0032756B"/>
    <w:rsid w:val="0033018E"/>
    <w:rsid w:val="00342FD0"/>
    <w:rsid w:val="00354240"/>
    <w:rsid w:val="003547C2"/>
    <w:rsid w:val="003548E9"/>
    <w:rsid w:val="003565B5"/>
    <w:rsid w:val="00360C31"/>
    <w:rsid w:val="0036356F"/>
    <w:rsid w:val="0036398E"/>
    <w:rsid w:val="00363C98"/>
    <w:rsid w:val="00366725"/>
    <w:rsid w:val="00366CE4"/>
    <w:rsid w:val="0036779F"/>
    <w:rsid w:val="00374E2A"/>
    <w:rsid w:val="0037672D"/>
    <w:rsid w:val="00377ABE"/>
    <w:rsid w:val="00381919"/>
    <w:rsid w:val="003837A5"/>
    <w:rsid w:val="00383EDD"/>
    <w:rsid w:val="00384629"/>
    <w:rsid w:val="0038478E"/>
    <w:rsid w:val="00385272"/>
    <w:rsid w:val="0038752E"/>
    <w:rsid w:val="00392308"/>
    <w:rsid w:val="00392766"/>
    <w:rsid w:val="0039468A"/>
    <w:rsid w:val="00395704"/>
    <w:rsid w:val="00397F15"/>
    <w:rsid w:val="003A05BC"/>
    <w:rsid w:val="003A19B0"/>
    <w:rsid w:val="003A25F2"/>
    <w:rsid w:val="003A3757"/>
    <w:rsid w:val="003A62ED"/>
    <w:rsid w:val="003A640B"/>
    <w:rsid w:val="003A7252"/>
    <w:rsid w:val="003A7BDC"/>
    <w:rsid w:val="003B4AE2"/>
    <w:rsid w:val="003B55A8"/>
    <w:rsid w:val="003B67A6"/>
    <w:rsid w:val="003B6914"/>
    <w:rsid w:val="003C29E6"/>
    <w:rsid w:val="003C3BA5"/>
    <w:rsid w:val="003C4BAB"/>
    <w:rsid w:val="003C610F"/>
    <w:rsid w:val="003C6D63"/>
    <w:rsid w:val="003D1BCC"/>
    <w:rsid w:val="003D2B02"/>
    <w:rsid w:val="003D3CC7"/>
    <w:rsid w:val="003D53C3"/>
    <w:rsid w:val="003D5517"/>
    <w:rsid w:val="003D68AF"/>
    <w:rsid w:val="003D7C99"/>
    <w:rsid w:val="003E2F9D"/>
    <w:rsid w:val="003E3C56"/>
    <w:rsid w:val="003E3F0F"/>
    <w:rsid w:val="003E49CC"/>
    <w:rsid w:val="003E7DAD"/>
    <w:rsid w:val="003F4D4F"/>
    <w:rsid w:val="003F654C"/>
    <w:rsid w:val="003F7C3A"/>
    <w:rsid w:val="00401518"/>
    <w:rsid w:val="00401D1E"/>
    <w:rsid w:val="00404BCE"/>
    <w:rsid w:val="00407D41"/>
    <w:rsid w:val="00410606"/>
    <w:rsid w:val="00410D7D"/>
    <w:rsid w:val="00412B43"/>
    <w:rsid w:val="00413E3F"/>
    <w:rsid w:val="004146EA"/>
    <w:rsid w:val="004153DF"/>
    <w:rsid w:val="0041591B"/>
    <w:rsid w:val="00416538"/>
    <w:rsid w:val="00421EA8"/>
    <w:rsid w:val="00422B54"/>
    <w:rsid w:val="00423C7F"/>
    <w:rsid w:val="00425A8A"/>
    <w:rsid w:val="00431BC7"/>
    <w:rsid w:val="00432A10"/>
    <w:rsid w:val="00432AB3"/>
    <w:rsid w:val="00433671"/>
    <w:rsid w:val="00440F39"/>
    <w:rsid w:val="004420BB"/>
    <w:rsid w:val="00442177"/>
    <w:rsid w:val="0044314D"/>
    <w:rsid w:val="00452AAE"/>
    <w:rsid w:val="00452F62"/>
    <w:rsid w:val="004539F1"/>
    <w:rsid w:val="00455842"/>
    <w:rsid w:val="00457661"/>
    <w:rsid w:val="00457B81"/>
    <w:rsid w:val="004614DA"/>
    <w:rsid w:val="00462527"/>
    <w:rsid w:val="004627AD"/>
    <w:rsid w:val="00462A5F"/>
    <w:rsid w:val="00463D29"/>
    <w:rsid w:val="00464FD5"/>
    <w:rsid w:val="00471650"/>
    <w:rsid w:val="00471E83"/>
    <w:rsid w:val="00472D3E"/>
    <w:rsid w:val="0047683A"/>
    <w:rsid w:val="00476894"/>
    <w:rsid w:val="0047729A"/>
    <w:rsid w:val="00480390"/>
    <w:rsid w:val="004812D7"/>
    <w:rsid w:val="004821DD"/>
    <w:rsid w:val="0048675C"/>
    <w:rsid w:val="004869CA"/>
    <w:rsid w:val="0049111E"/>
    <w:rsid w:val="00494B50"/>
    <w:rsid w:val="00494FC8"/>
    <w:rsid w:val="004A0161"/>
    <w:rsid w:val="004A1493"/>
    <w:rsid w:val="004A2EDD"/>
    <w:rsid w:val="004A360D"/>
    <w:rsid w:val="004A3672"/>
    <w:rsid w:val="004A6317"/>
    <w:rsid w:val="004A6371"/>
    <w:rsid w:val="004A6F6C"/>
    <w:rsid w:val="004C33EC"/>
    <w:rsid w:val="004C3B03"/>
    <w:rsid w:val="004C3B5E"/>
    <w:rsid w:val="004C5B64"/>
    <w:rsid w:val="004C6456"/>
    <w:rsid w:val="004D2DC3"/>
    <w:rsid w:val="004D383A"/>
    <w:rsid w:val="004D47C1"/>
    <w:rsid w:val="004D48B5"/>
    <w:rsid w:val="004D55A0"/>
    <w:rsid w:val="004D607D"/>
    <w:rsid w:val="004E1E8E"/>
    <w:rsid w:val="004E4AED"/>
    <w:rsid w:val="004E4D29"/>
    <w:rsid w:val="004E5F00"/>
    <w:rsid w:val="004F0BAF"/>
    <w:rsid w:val="004F3527"/>
    <w:rsid w:val="004F470C"/>
    <w:rsid w:val="004F57BD"/>
    <w:rsid w:val="004F611F"/>
    <w:rsid w:val="00501748"/>
    <w:rsid w:val="005020C1"/>
    <w:rsid w:val="00502F47"/>
    <w:rsid w:val="00504E3D"/>
    <w:rsid w:val="0050519F"/>
    <w:rsid w:val="00505DF7"/>
    <w:rsid w:val="0050689F"/>
    <w:rsid w:val="00507CE4"/>
    <w:rsid w:val="005102EC"/>
    <w:rsid w:val="0051390F"/>
    <w:rsid w:val="005169E5"/>
    <w:rsid w:val="00516E58"/>
    <w:rsid w:val="00517283"/>
    <w:rsid w:val="005236C8"/>
    <w:rsid w:val="0052603B"/>
    <w:rsid w:val="005275B0"/>
    <w:rsid w:val="00527BB3"/>
    <w:rsid w:val="005317B9"/>
    <w:rsid w:val="0053237B"/>
    <w:rsid w:val="00535328"/>
    <w:rsid w:val="00537428"/>
    <w:rsid w:val="00542E63"/>
    <w:rsid w:val="005436A2"/>
    <w:rsid w:val="00544078"/>
    <w:rsid w:val="00545A73"/>
    <w:rsid w:val="00547260"/>
    <w:rsid w:val="00547524"/>
    <w:rsid w:val="0055404D"/>
    <w:rsid w:val="00557C40"/>
    <w:rsid w:val="005608B2"/>
    <w:rsid w:val="00560FED"/>
    <w:rsid w:val="00562A37"/>
    <w:rsid w:val="005643A9"/>
    <w:rsid w:val="005664EF"/>
    <w:rsid w:val="00567097"/>
    <w:rsid w:val="00567E6D"/>
    <w:rsid w:val="00571B49"/>
    <w:rsid w:val="00575D6C"/>
    <w:rsid w:val="0057630D"/>
    <w:rsid w:val="00581318"/>
    <w:rsid w:val="00585FCA"/>
    <w:rsid w:val="005877FF"/>
    <w:rsid w:val="005903DC"/>
    <w:rsid w:val="00590C28"/>
    <w:rsid w:val="00591289"/>
    <w:rsid w:val="0059628F"/>
    <w:rsid w:val="005A3FED"/>
    <w:rsid w:val="005A5501"/>
    <w:rsid w:val="005A5DC4"/>
    <w:rsid w:val="005A7937"/>
    <w:rsid w:val="005B01CD"/>
    <w:rsid w:val="005B0213"/>
    <w:rsid w:val="005B4647"/>
    <w:rsid w:val="005B5CFA"/>
    <w:rsid w:val="005B60F3"/>
    <w:rsid w:val="005C0D2E"/>
    <w:rsid w:val="005C100E"/>
    <w:rsid w:val="005C335F"/>
    <w:rsid w:val="005C374F"/>
    <w:rsid w:val="005D060A"/>
    <w:rsid w:val="005D12AA"/>
    <w:rsid w:val="005D3196"/>
    <w:rsid w:val="005D5852"/>
    <w:rsid w:val="005D5FD6"/>
    <w:rsid w:val="005D6C90"/>
    <w:rsid w:val="005E1F7C"/>
    <w:rsid w:val="005E3160"/>
    <w:rsid w:val="005E396A"/>
    <w:rsid w:val="005E3FF3"/>
    <w:rsid w:val="005F6529"/>
    <w:rsid w:val="005F695F"/>
    <w:rsid w:val="005F780E"/>
    <w:rsid w:val="00600F2E"/>
    <w:rsid w:val="00602A50"/>
    <w:rsid w:val="00605C20"/>
    <w:rsid w:val="006101AC"/>
    <w:rsid w:val="0061168D"/>
    <w:rsid w:val="00612901"/>
    <w:rsid w:val="00613ACD"/>
    <w:rsid w:val="006158CF"/>
    <w:rsid w:val="00616F8A"/>
    <w:rsid w:val="0061797D"/>
    <w:rsid w:val="00622982"/>
    <w:rsid w:val="006259A9"/>
    <w:rsid w:val="0062720A"/>
    <w:rsid w:val="006275BA"/>
    <w:rsid w:val="00627965"/>
    <w:rsid w:val="00630D42"/>
    <w:rsid w:val="006327AF"/>
    <w:rsid w:val="00632B11"/>
    <w:rsid w:val="00632B8E"/>
    <w:rsid w:val="00632EC2"/>
    <w:rsid w:val="006346D8"/>
    <w:rsid w:val="00636269"/>
    <w:rsid w:val="00637D4A"/>
    <w:rsid w:val="00641887"/>
    <w:rsid w:val="00643E67"/>
    <w:rsid w:val="006440CE"/>
    <w:rsid w:val="006457F8"/>
    <w:rsid w:val="00645F1A"/>
    <w:rsid w:val="006471A3"/>
    <w:rsid w:val="006538A3"/>
    <w:rsid w:val="006546FF"/>
    <w:rsid w:val="00657367"/>
    <w:rsid w:val="00661BCC"/>
    <w:rsid w:val="0066258D"/>
    <w:rsid w:val="0066264F"/>
    <w:rsid w:val="00663949"/>
    <w:rsid w:val="006643C7"/>
    <w:rsid w:val="00664639"/>
    <w:rsid w:val="006657A4"/>
    <w:rsid w:val="00666E8C"/>
    <w:rsid w:val="00667399"/>
    <w:rsid w:val="00670071"/>
    <w:rsid w:val="0067108F"/>
    <w:rsid w:val="006716E9"/>
    <w:rsid w:val="006738BB"/>
    <w:rsid w:val="00674571"/>
    <w:rsid w:val="00681C40"/>
    <w:rsid w:val="006823FB"/>
    <w:rsid w:val="006832AF"/>
    <w:rsid w:val="0068467C"/>
    <w:rsid w:val="006859A9"/>
    <w:rsid w:val="00687895"/>
    <w:rsid w:val="00691319"/>
    <w:rsid w:val="0069213D"/>
    <w:rsid w:val="00692765"/>
    <w:rsid w:val="00693E10"/>
    <w:rsid w:val="00694121"/>
    <w:rsid w:val="00696B60"/>
    <w:rsid w:val="006A1094"/>
    <w:rsid w:val="006A1CD1"/>
    <w:rsid w:val="006A242D"/>
    <w:rsid w:val="006A4275"/>
    <w:rsid w:val="006A5751"/>
    <w:rsid w:val="006B27A5"/>
    <w:rsid w:val="006B299B"/>
    <w:rsid w:val="006B3B79"/>
    <w:rsid w:val="006C10F6"/>
    <w:rsid w:val="006C16B3"/>
    <w:rsid w:val="006C6EA4"/>
    <w:rsid w:val="006D0641"/>
    <w:rsid w:val="006D4399"/>
    <w:rsid w:val="006D4FAC"/>
    <w:rsid w:val="006D6AC1"/>
    <w:rsid w:val="006E2492"/>
    <w:rsid w:val="006E2FAA"/>
    <w:rsid w:val="006E4E76"/>
    <w:rsid w:val="006E7238"/>
    <w:rsid w:val="006E7A3A"/>
    <w:rsid w:val="006F2B40"/>
    <w:rsid w:val="006F35BB"/>
    <w:rsid w:val="006F6E11"/>
    <w:rsid w:val="00702FF4"/>
    <w:rsid w:val="00706BD7"/>
    <w:rsid w:val="0071286C"/>
    <w:rsid w:val="00712DA0"/>
    <w:rsid w:val="00714D23"/>
    <w:rsid w:val="00715808"/>
    <w:rsid w:val="00715DC2"/>
    <w:rsid w:val="00715F53"/>
    <w:rsid w:val="00717284"/>
    <w:rsid w:val="007210FE"/>
    <w:rsid w:val="00721E3C"/>
    <w:rsid w:val="00722D9B"/>
    <w:rsid w:val="0072344E"/>
    <w:rsid w:val="00724619"/>
    <w:rsid w:val="00725772"/>
    <w:rsid w:val="00730FE1"/>
    <w:rsid w:val="00731C63"/>
    <w:rsid w:val="0073328A"/>
    <w:rsid w:val="007342DA"/>
    <w:rsid w:val="00734E63"/>
    <w:rsid w:val="007441C1"/>
    <w:rsid w:val="00744F1B"/>
    <w:rsid w:val="00745822"/>
    <w:rsid w:val="00746396"/>
    <w:rsid w:val="00754C69"/>
    <w:rsid w:val="00761C05"/>
    <w:rsid w:val="00766735"/>
    <w:rsid w:val="00770903"/>
    <w:rsid w:val="007712CD"/>
    <w:rsid w:val="0077323D"/>
    <w:rsid w:val="0077557C"/>
    <w:rsid w:val="00781ACE"/>
    <w:rsid w:val="0078221F"/>
    <w:rsid w:val="00782239"/>
    <w:rsid w:val="00783342"/>
    <w:rsid w:val="00784657"/>
    <w:rsid w:val="00786A3B"/>
    <w:rsid w:val="00786CDA"/>
    <w:rsid w:val="00786F71"/>
    <w:rsid w:val="00790EB2"/>
    <w:rsid w:val="00791EFA"/>
    <w:rsid w:val="00794C6C"/>
    <w:rsid w:val="00795034"/>
    <w:rsid w:val="00796DE1"/>
    <w:rsid w:val="007A0CCC"/>
    <w:rsid w:val="007A1A53"/>
    <w:rsid w:val="007A4217"/>
    <w:rsid w:val="007A4DD9"/>
    <w:rsid w:val="007A671A"/>
    <w:rsid w:val="007A7571"/>
    <w:rsid w:val="007B244C"/>
    <w:rsid w:val="007B31BE"/>
    <w:rsid w:val="007B4CD5"/>
    <w:rsid w:val="007B72F8"/>
    <w:rsid w:val="007B7626"/>
    <w:rsid w:val="007B7A03"/>
    <w:rsid w:val="007C17C9"/>
    <w:rsid w:val="007C23ED"/>
    <w:rsid w:val="007C4833"/>
    <w:rsid w:val="007C4EC4"/>
    <w:rsid w:val="007C60D2"/>
    <w:rsid w:val="007D623C"/>
    <w:rsid w:val="007D7FAF"/>
    <w:rsid w:val="007E15C1"/>
    <w:rsid w:val="007E4ABE"/>
    <w:rsid w:val="007F02B8"/>
    <w:rsid w:val="007F0CD7"/>
    <w:rsid w:val="007F1660"/>
    <w:rsid w:val="007F3627"/>
    <w:rsid w:val="007F45BB"/>
    <w:rsid w:val="007F4951"/>
    <w:rsid w:val="007F4B6B"/>
    <w:rsid w:val="007F5488"/>
    <w:rsid w:val="007F654B"/>
    <w:rsid w:val="007F689B"/>
    <w:rsid w:val="008008E2"/>
    <w:rsid w:val="008016E2"/>
    <w:rsid w:val="00803257"/>
    <w:rsid w:val="00804A6F"/>
    <w:rsid w:val="0080644A"/>
    <w:rsid w:val="00811783"/>
    <w:rsid w:val="008133DB"/>
    <w:rsid w:val="00814260"/>
    <w:rsid w:val="00816877"/>
    <w:rsid w:val="00824CB8"/>
    <w:rsid w:val="008266AA"/>
    <w:rsid w:val="00831323"/>
    <w:rsid w:val="00831324"/>
    <w:rsid w:val="00832F63"/>
    <w:rsid w:val="00834082"/>
    <w:rsid w:val="00834A39"/>
    <w:rsid w:val="008371F6"/>
    <w:rsid w:val="00841216"/>
    <w:rsid w:val="00843AB0"/>
    <w:rsid w:val="00844D0C"/>
    <w:rsid w:val="00845758"/>
    <w:rsid w:val="00852A8B"/>
    <w:rsid w:val="00854A3B"/>
    <w:rsid w:val="008656FC"/>
    <w:rsid w:val="008660EB"/>
    <w:rsid w:val="00870122"/>
    <w:rsid w:val="0087483A"/>
    <w:rsid w:val="00874A88"/>
    <w:rsid w:val="0087604C"/>
    <w:rsid w:val="0087651E"/>
    <w:rsid w:val="008771D6"/>
    <w:rsid w:val="00877A68"/>
    <w:rsid w:val="00877D84"/>
    <w:rsid w:val="008810CB"/>
    <w:rsid w:val="00883724"/>
    <w:rsid w:val="00886BF4"/>
    <w:rsid w:val="00890C92"/>
    <w:rsid w:val="00890F49"/>
    <w:rsid w:val="008918B3"/>
    <w:rsid w:val="00892957"/>
    <w:rsid w:val="008A4324"/>
    <w:rsid w:val="008B36FE"/>
    <w:rsid w:val="008B5DE1"/>
    <w:rsid w:val="008B7DBD"/>
    <w:rsid w:val="008C1376"/>
    <w:rsid w:val="008C3889"/>
    <w:rsid w:val="008C572F"/>
    <w:rsid w:val="008C76F2"/>
    <w:rsid w:val="008C7B96"/>
    <w:rsid w:val="008C7E16"/>
    <w:rsid w:val="008D21FA"/>
    <w:rsid w:val="008D2EF6"/>
    <w:rsid w:val="008D39B6"/>
    <w:rsid w:val="008D6E80"/>
    <w:rsid w:val="008D7D75"/>
    <w:rsid w:val="008E05FE"/>
    <w:rsid w:val="008E555E"/>
    <w:rsid w:val="008F07F1"/>
    <w:rsid w:val="008F68BD"/>
    <w:rsid w:val="008F6E74"/>
    <w:rsid w:val="00901328"/>
    <w:rsid w:val="00905FFD"/>
    <w:rsid w:val="00907A15"/>
    <w:rsid w:val="00910B98"/>
    <w:rsid w:val="009134AC"/>
    <w:rsid w:val="00915DEE"/>
    <w:rsid w:val="009172FF"/>
    <w:rsid w:val="00922205"/>
    <w:rsid w:val="00927489"/>
    <w:rsid w:val="00931715"/>
    <w:rsid w:val="00931807"/>
    <w:rsid w:val="00934115"/>
    <w:rsid w:val="0093611F"/>
    <w:rsid w:val="00945567"/>
    <w:rsid w:val="00946F5D"/>
    <w:rsid w:val="00947DC5"/>
    <w:rsid w:val="00950F7A"/>
    <w:rsid w:val="00956B2F"/>
    <w:rsid w:val="00962513"/>
    <w:rsid w:val="00967FED"/>
    <w:rsid w:val="009713E2"/>
    <w:rsid w:val="0097356E"/>
    <w:rsid w:val="00977A9F"/>
    <w:rsid w:val="00980CA1"/>
    <w:rsid w:val="009815CF"/>
    <w:rsid w:val="00983FDF"/>
    <w:rsid w:val="009865BA"/>
    <w:rsid w:val="00986F28"/>
    <w:rsid w:val="00987797"/>
    <w:rsid w:val="0099075D"/>
    <w:rsid w:val="00993821"/>
    <w:rsid w:val="00993A06"/>
    <w:rsid w:val="00995B31"/>
    <w:rsid w:val="00997892"/>
    <w:rsid w:val="00997C5C"/>
    <w:rsid w:val="009A0FA7"/>
    <w:rsid w:val="009A2E17"/>
    <w:rsid w:val="009B19C2"/>
    <w:rsid w:val="009B1CAD"/>
    <w:rsid w:val="009B3366"/>
    <w:rsid w:val="009B34A3"/>
    <w:rsid w:val="009B36B4"/>
    <w:rsid w:val="009B4CE4"/>
    <w:rsid w:val="009B5BE2"/>
    <w:rsid w:val="009B7154"/>
    <w:rsid w:val="009C2348"/>
    <w:rsid w:val="009C3062"/>
    <w:rsid w:val="009C4F8D"/>
    <w:rsid w:val="009C6356"/>
    <w:rsid w:val="009C7F0C"/>
    <w:rsid w:val="009D4EE5"/>
    <w:rsid w:val="009D739F"/>
    <w:rsid w:val="009E1C7F"/>
    <w:rsid w:val="009E2B43"/>
    <w:rsid w:val="009E77CE"/>
    <w:rsid w:val="009F5D0F"/>
    <w:rsid w:val="009F7486"/>
    <w:rsid w:val="009F7583"/>
    <w:rsid w:val="00A01915"/>
    <w:rsid w:val="00A02563"/>
    <w:rsid w:val="00A02808"/>
    <w:rsid w:val="00A06298"/>
    <w:rsid w:val="00A11487"/>
    <w:rsid w:val="00A118C0"/>
    <w:rsid w:val="00A12C50"/>
    <w:rsid w:val="00A13B8A"/>
    <w:rsid w:val="00A14859"/>
    <w:rsid w:val="00A163F0"/>
    <w:rsid w:val="00A20FEF"/>
    <w:rsid w:val="00A2491B"/>
    <w:rsid w:val="00A26169"/>
    <w:rsid w:val="00A27205"/>
    <w:rsid w:val="00A274F4"/>
    <w:rsid w:val="00A278AA"/>
    <w:rsid w:val="00A3525C"/>
    <w:rsid w:val="00A36DE6"/>
    <w:rsid w:val="00A37E3A"/>
    <w:rsid w:val="00A414D5"/>
    <w:rsid w:val="00A4492E"/>
    <w:rsid w:val="00A46D8F"/>
    <w:rsid w:val="00A515EF"/>
    <w:rsid w:val="00A54521"/>
    <w:rsid w:val="00A546ED"/>
    <w:rsid w:val="00A55F49"/>
    <w:rsid w:val="00A573A2"/>
    <w:rsid w:val="00A5753F"/>
    <w:rsid w:val="00A607AC"/>
    <w:rsid w:val="00A63119"/>
    <w:rsid w:val="00A647F6"/>
    <w:rsid w:val="00A6694F"/>
    <w:rsid w:val="00A718BA"/>
    <w:rsid w:val="00A71E65"/>
    <w:rsid w:val="00A7280C"/>
    <w:rsid w:val="00A74365"/>
    <w:rsid w:val="00A76428"/>
    <w:rsid w:val="00A80FB2"/>
    <w:rsid w:val="00A854AF"/>
    <w:rsid w:val="00A951EE"/>
    <w:rsid w:val="00A95F1B"/>
    <w:rsid w:val="00A97315"/>
    <w:rsid w:val="00AA1EDB"/>
    <w:rsid w:val="00AA2CC3"/>
    <w:rsid w:val="00AA43A5"/>
    <w:rsid w:val="00AA47AB"/>
    <w:rsid w:val="00AA7FE0"/>
    <w:rsid w:val="00AB078D"/>
    <w:rsid w:val="00AB0A63"/>
    <w:rsid w:val="00AB2E71"/>
    <w:rsid w:val="00AB3058"/>
    <w:rsid w:val="00AB4492"/>
    <w:rsid w:val="00AB4A24"/>
    <w:rsid w:val="00AC03F7"/>
    <w:rsid w:val="00AC0CE1"/>
    <w:rsid w:val="00AC16BD"/>
    <w:rsid w:val="00AC1936"/>
    <w:rsid w:val="00AC4B34"/>
    <w:rsid w:val="00AC587B"/>
    <w:rsid w:val="00AC597D"/>
    <w:rsid w:val="00AC5A6A"/>
    <w:rsid w:val="00AD0065"/>
    <w:rsid w:val="00AD02E2"/>
    <w:rsid w:val="00AD2E1E"/>
    <w:rsid w:val="00AD4136"/>
    <w:rsid w:val="00AE0F55"/>
    <w:rsid w:val="00AF1BBA"/>
    <w:rsid w:val="00AF3BE1"/>
    <w:rsid w:val="00AF5859"/>
    <w:rsid w:val="00B00BBF"/>
    <w:rsid w:val="00B02B19"/>
    <w:rsid w:val="00B048DA"/>
    <w:rsid w:val="00B0627A"/>
    <w:rsid w:val="00B0683C"/>
    <w:rsid w:val="00B11124"/>
    <w:rsid w:val="00B1185F"/>
    <w:rsid w:val="00B11AC4"/>
    <w:rsid w:val="00B14E01"/>
    <w:rsid w:val="00B20709"/>
    <w:rsid w:val="00B22FFD"/>
    <w:rsid w:val="00B25107"/>
    <w:rsid w:val="00B25FB5"/>
    <w:rsid w:val="00B30BA1"/>
    <w:rsid w:val="00B30EA2"/>
    <w:rsid w:val="00B31539"/>
    <w:rsid w:val="00B32986"/>
    <w:rsid w:val="00B3328F"/>
    <w:rsid w:val="00B35A55"/>
    <w:rsid w:val="00B35B26"/>
    <w:rsid w:val="00B46324"/>
    <w:rsid w:val="00B47FD5"/>
    <w:rsid w:val="00B51D22"/>
    <w:rsid w:val="00B5326E"/>
    <w:rsid w:val="00B53E6B"/>
    <w:rsid w:val="00B543CA"/>
    <w:rsid w:val="00B548A5"/>
    <w:rsid w:val="00B56A17"/>
    <w:rsid w:val="00B653AC"/>
    <w:rsid w:val="00B711BD"/>
    <w:rsid w:val="00B7162A"/>
    <w:rsid w:val="00B71A81"/>
    <w:rsid w:val="00B71D1C"/>
    <w:rsid w:val="00B726D9"/>
    <w:rsid w:val="00B74755"/>
    <w:rsid w:val="00B74A06"/>
    <w:rsid w:val="00B76B86"/>
    <w:rsid w:val="00B76CC0"/>
    <w:rsid w:val="00B76FC6"/>
    <w:rsid w:val="00B81DD7"/>
    <w:rsid w:val="00B82BA8"/>
    <w:rsid w:val="00B8362B"/>
    <w:rsid w:val="00B86B1C"/>
    <w:rsid w:val="00B936D0"/>
    <w:rsid w:val="00BA42E4"/>
    <w:rsid w:val="00BA5CCB"/>
    <w:rsid w:val="00BA76A5"/>
    <w:rsid w:val="00BB0152"/>
    <w:rsid w:val="00BC03F5"/>
    <w:rsid w:val="00BC2B47"/>
    <w:rsid w:val="00BD328A"/>
    <w:rsid w:val="00BD3A16"/>
    <w:rsid w:val="00BE025F"/>
    <w:rsid w:val="00BE10FF"/>
    <w:rsid w:val="00BE255E"/>
    <w:rsid w:val="00BE2661"/>
    <w:rsid w:val="00BE34E5"/>
    <w:rsid w:val="00BE4ABC"/>
    <w:rsid w:val="00BE7F34"/>
    <w:rsid w:val="00BF2996"/>
    <w:rsid w:val="00BF40CC"/>
    <w:rsid w:val="00BF688E"/>
    <w:rsid w:val="00BF6B77"/>
    <w:rsid w:val="00BF6D43"/>
    <w:rsid w:val="00BF721D"/>
    <w:rsid w:val="00C06756"/>
    <w:rsid w:val="00C078A8"/>
    <w:rsid w:val="00C11B52"/>
    <w:rsid w:val="00C15D93"/>
    <w:rsid w:val="00C2099A"/>
    <w:rsid w:val="00C31D10"/>
    <w:rsid w:val="00C333BA"/>
    <w:rsid w:val="00C33D52"/>
    <w:rsid w:val="00C3652E"/>
    <w:rsid w:val="00C3727E"/>
    <w:rsid w:val="00C37900"/>
    <w:rsid w:val="00C40C8D"/>
    <w:rsid w:val="00C41473"/>
    <w:rsid w:val="00C42E3C"/>
    <w:rsid w:val="00C43F2D"/>
    <w:rsid w:val="00C44A83"/>
    <w:rsid w:val="00C4539F"/>
    <w:rsid w:val="00C50606"/>
    <w:rsid w:val="00C51586"/>
    <w:rsid w:val="00C51BAC"/>
    <w:rsid w:val="00C53A50"/>
    <w:rsid w:val="00C55970"/>
    <w:rsid w:val="00C55A0C"/>
    <w:rsid w:val="00C6078A"/>
    <w:rsid w:val="00C61C71"/>
    <w:rsid w:val="00C62BE3"/>
    <w:rsid w:val="00C6417F"/>
    <w:rsid w:val="00C67CEE"/>
    <w:rsid w:val="00C70F8E"/>
    <w:rsid w:val="00C73C93"/>
    <w:rsid w:val="00C77143"/>
    <w:rsid w:val="00C77FCF"/>
    <w:rsid w:val="00C807D3"/>
    <w:rsid w:val="00C82D11"/>
    <w:rsid w:val="00C830BC"/>
    <w:rsid w:val="00C857A6"/>
    <w:rsid w:val="00C86148"/>
    <w:rsid w:val="00C96339"/>
    <w:rsid w:val="00C97903"/>
    <w:rsid w:val="00C97DF1"/>
    <w:rsid w:val="00CA69E8"/>
    <w:rsid w:val="00CA77F2"/>
    <w:rsid w:val="00CB04AA"/>
    <w:rsid w:val="00CB256A"/>
    <w:rsid w:val="00CB2DCC"/>
    <w:rsid w:val="00CB5E69"/>
    <w:rsid w:val="00CB7F42"/>
    <w:rsid w:val="00CC105A"/>
    <w:rsid w:val="00CC35E7"/>
    <w:rsid w:val="00CC71B3"/>
    <w:rsid w:val="00CC7A67"/>
    <w:rsid w:val="00CD4D11"/>
    <w:rsid w:val="00CD522C"/>
    <w:rsid w:val="00CE0A55"/>
    <w:rsid w:val="00CE4437"/>
    <w:rsid w:val="00CE4F3A"/>
    <w:rsid w:val="00CE5C64"/>
    <w:rsid w:val="00CF2E30"/>
    <w:rsid w:val="00CF5834"/>
    <w:rsid w:val="00CF5C04"/>
    <w:rsid w:val="00CF71B2"/>
    <w:rsid w:val="00D0075A"/>
    <w:rsid w:val="00D00FD7"/>
    <w:rsid w:val="00D041BC"/>
    <w:rsid w:val="00D0443A"/>
    <w:rsid w:val="00D0557A"/>
    <w:rsid w:val="00D10505"/>
    <w:rsid w:val="00D1108F"/>
    <w:rsid w:val="00D12562"/>
    <w:rsid w:val="00D12AA6"/>
    <w:rsid w:val="00D14940"/>
    <w:rsid w:val="00D20123"/>
    <w:rsid w:val="00D256B0"/>
    <w:rsid w:val="00D25881"/>
    <w:rsid w:val="00D25B2A"/>
    <w:rsid w:val="00D262DA"/>
    <w:rsid w:val="00D2686D"/>
    <w:rsid w:val="00D3680F"/>
    <w:rsid w:val="00D374B1"/>
    <w:rsid w:val="00D4262C"/>
    <w:rsid w:val="00D4444C"/>
    <w:rsid w:val="00D455CA"/>
    <w:rsid w:val="00D46513"/>
    <w:rsid w:val="00D538FA"/>
    <w:rsid w:val="00D541FB"/>
    <w:rsid w:val="00D613BB"/>
    <w:rsid w:val="00D6162E"/>
    <w:rsid w:val="00D61972"/>
    <w:rsid w:val="00D66233"/>
    <w:rsid w:val="00D66B07"/>
    <w:rsid w:val="00D72A92"/>
    <w:rsid w:val="00D72E2A"/>
    <w:rsid w:val="00D73A31"/>
    <w:rsid w:val="00D7724A"/>
    <w:rsid w:val="00D77E4D"/>
    <w:rsid w:val="00D90037"/>
    <w:rsid w:val="00D910D7"/>
    <w:rsid w:val="00D94D58"/>
    <w:rsid w:val="00D9556C"/>
    <w:rsid w:val="00D961C2"/>
    <w:rsid w:val="00D96728"/>
    <w:rsid w:val="00DA0830"/>
    <w:rsid w:val="00DA106E"/>
    <w:rsid w:val="00DA190D"/>
    <w:rsid w:val="00DA3CBF"/>
    <w:rsid w:val="00DA40A6"/>
    <w:rsid w:val="00DA517D"/>
    <w:rsid w:val="00DB0663"/>
    <w:rsid w:val="00DB309C"/>
    <w:rsid w:val="00DB62F1"/>
    <w:rsid w:val="00DB7A52"/>
    <w:rsid w:val="00DC2565"/>
    <w:rsid w:val="00DC2AF0"/>
    <w:rsid w:val="00DC69B9"/>
    <w:rsid w:val="00DC79E4"/>
    <w:rsid w:val="00DD037E"/>
    <w:rsid w:val="00DD61D1"/>
    <w:rsid w:val="00DE3446"/>
    <w:rsid w:val="00DF00B3"/>
    <w:rsid w:val="00DF1C78"/>
    <w:rsid w:val="00DF1E12"/>
    <w:rsid w:val="00DF386C"/>
    <w:rsid w:val="00DF55BB"/>
    <w:rsid w:val="00E0074D"/>
    <w:rsid w:val="00E00AFB"/>
    <w:rsid w:val="00E0760F"/>
    <w:rsid w:val="00E12308"/>
    <w:rsid w:val="00E13850"/>
    <w:rsid w:val="00E15857"/>
    <w:rsid w:val="00E158AB"/>
    <w:rsid w:val="00E20F73"/>
    <w:rsid w:val="00E2338F"/>
    <w:rsid w:val="00E25A48"/>
    <w:rsid w:val="00E31157"/>
    <w:rsid w:val="00E319C6"/>
    <w:rsid w:val="00E32799"/>
    <w:rsid w:val="00E44654"/>
    <w:rsid w:val="00E44A02"/>
    <w:rsid w:val="00E47187"/>
    <w:rsid w:val="00E536BD"/>
    <w:rsid w:val="00E53ADA"/>
    <w:rsid w:val="00E54120"/>
    <w:rsid w:val="00E54FF0"/>
    <w:rsid w:val="00E56458"/>
    <w:rsid w:val="00E57445"/>
    <w:rsid w:val="00E57ECA"/>
    <w:rsid w:val="00E60097"/>
    <w:rsid w:val="00E61C44"/>
    <w:rsid w:val="00E64B8E"/>
    <w:rsid w:val="00E658B7"/>
    <w:rsid w:val="00E65AFB"/>
    <w:rsid w:val="00E71F22"/>
    <w:rsid w:val="00E71FEA"/>
    <w:rsid w:val="00E724A8"/>
    <w:rsid w:val="00E763D3"/>
    <w:rsid w:val="00E77585"/>
    <w:rsid w:val="00E77ED9"/>
    <w:rsid w:val="00E84F34"/>
    <w:rsid w:val="00E879E4"/>
    <w:rsid w:val="00E91BF5"/>
    <w:rsid w:val="00E91C3B"/>
    <w:rsid w:val="00E91C42"/>
    <w:rsid w:val="00E92DEA"/>
    <w:rsid w:val="00E94AD3"/>
    <w:rsid w:val="00E954E5"/>
    <w:rsid w:val="00E97DDD"/>
    <w:rsid w:val="00EA0629"/>
    <w:rsid w:val="00EA33EE"/>
    <w:rsid w:val="00EA3489"/>
    <w:rsid w:val="00EA3A86"/>
    <w:rsid w:val="00EA433B"/>
    <w:rsid w:val="00EB5E62"/>
    <w:rsid w:val="00EB6A81"/>
    <w:rsid w:val="00EB755B"/>
    <w:rsid w:val="00EC1966"/>
    <w:rsid w:val="00EC520A"/>
    <w:rsid w:val="00EC5708"/>
    <w:rsid w:val="00ED0685"/>
    <w:rsid w:val="00ED1795"/>
    <w:rsid w:val="00ED5784"/>
    <w:rsid w:val="00ED5C43"/>
    <w:rsid w:val="00ED780C"/>
    <w:rsid w:val="00EE600F"/>
    <w:rsid w:val="00EE6361"/>
    <w:rsid w:val="00F012CE"/>
    <w:rsid w:val="00F0218D"/>
    <w:rsid w:val="00F02A98"/>
    <w:rsid w:val="00F02AFB"/>
    <w:rsid w:val="00F070E5"/>
    <w:rsid w:val="00F10682"/>
    <w:rsid w:val="00F143CF"/>
    <w:rsid w:val="00F14F0C"/>
    <w:rsid w:val="00F1682C"/>
    <w:rsid w:val="00F174CE"/>
    <w:rsid w:val="00F20526"/>
    <w:rsid w:val="00F22D6F"/>
    <w:rsid w:val="00F24397"/>
    <w:rsid w:val="00F26981"/>
    <w:rsid w:val="00F2736E"/>
    <w:rsid w:val="00F30344"/>
    <w:rsid w:val="00F303B5"/>
    <w:rsid w:val="00F30F9D"/>
    <w:rsid w:val="00F325C3"/>
    <w:rsid w:val="00F3451E"/>
    <w:rsid w:val="00F3475E"/>
    <w:rsid w:val="00F40FB9"/>
    <w:rsid w:val="00F436A9"/>
    <w:rsid w:val="00F44FA1"/>
    <w:rsid w:val="00F55A55"/>
    <w:rsid w:val="00F56430"/>
    <w:rsid w:val="00F61D94"/>
    <w:rsid w:val="00F631E0"/>
    <w:rsid w:val="00F6474E"/>
    <w:rsid w:val="00F6778B"/>
    <w:rsid w:val="00F749E7"/>
    <w:rsid w:val="00F758C0"/>
    <w:rsid w:val="00F762DB"/>
    <w:rsid w:val="00F77115"/>
    <w:rsid w:val="00F77F4D"/>
    <w:rsid w:val="00F80446"/>
    <w:rsid w:val="00F80D67"/>
    <w:rsid w:val="00F8497A"/>
    <w:rsid w:val="00F87460"/>
    <w:rsid w:val="00F91D64"/>
    <w:rsid w:val="00F921B1"/>
    <w:rsid w:val="00F93FE8"/>
    <w:rsid w:val="00F95C49"/>
    <w:rsid w:val="00F973FA"/>
    <w:rsid w:val="00FA4E86"/>
    <w:rsid w:val="00FB0886"/>
    <w:rsid w:val="00FB17C2"/>
    <w:rsid w:val="00FB25BC"/>
    <w:rsid w:val="00FB4A35"/>
    <w:rsid w:val="00FC2F33"/>
    <w:rsid w:val="00FC4E66"/>
    <w:rsid w:val="00FC5B2E"/>
    <w:rsid w:val="00FC6925"/>
    <w:rsid w:val="00FC6DD7"/>
    <w:rsid w:val="00FD3836"/>
    <w:rsid w:val="00FD4F60"/>
    <w:rsid w:val="00FD5890"/>
    <w:rsid w:val="00FD5B6C"/>
    <w:rsid w:val="00FE041A"/>
    <w:rsid w:val="00FE1AAA"/>
    <w:rsid w:val="00FE547C"/>
    <w:rsid w:val="00FE5F8F"/>
    <w:rsid w:val="00FF018F"/>
    <w:rsid w:val="00FF2A95"/>
    <w:rsid w:val="00FF4C0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FF91C"/>
  <w15:docId w15:val="{7F8D0AD7-2A6C-4518-B939-41B546B2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89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4D607D"/>
    <w:pPr>
      <w:widowControl w:val="0"/>
      <w:ind w:left="140"/>
      <w:outlineLvl w:val="0"/>
    </w:pPr>
    <w:rPr>
      <w:rFonts w:eastAsia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895"/>
    <w:rPr>
      <w:color w:val="808080"/>
    </w:rPr>
  </w:style>
  <w:style w:type="character" w:customStyle="1" w:styleId="Style1">
    <w:name w:val="Style1"/>
    <w:basedOn w:val="DefaultParagraphFont"/>
    <w:uiPriority w:val="1"/>
    <w:rsid w:val="0068789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F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F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86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F71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2265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D4EE5"/>
    <w:rPr>
      <w:rFonts w:ascii="Arial" w:hAnsi="Arial"/>
    </w:rPr>
  </w:style>
  <w:style w:type="paragraph" w:styleId="BodyText2">
    <w:name w:val="Body Text 2"/>
    <w:basedOn w:val="Normal"/>
    <w:link w:val="BodyText2Char"/>
    <w:rsid w:val="004D607D"/>
    <w:rPr>
      <w:rFonts w:ascii="Sabon" w:eastAsia="Times New Roman" w:hAnsi="Sabon" w:cs="Times New Roman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D607D"/>
    <w:rPr>
      <w:rFonts w:ascii="Sabon" w:eastAsia="Times New Roman" w:hAnsi="Sabo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07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D60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607D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4D607D"/>
    <w:rPr>
      <w:rFonts w:ascii="Arial" w:eastAsia="Arial" w:hAnsi="Arial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6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ber.ac.uk/en/pgbi/general-info/risk-management/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C63CCAC8F943A33BEEC1DC0C32BA" ma:contentTypeVersion="11" ma:contentTypeDescription="Create a new document." ma:contentTypeScope="" ma:versionID="2b9ced3b731dfc05df981202860d1eae">
  <xsd:schema xmlns:xsd="http://www.w3.org/2001/XMLSchema" xmlns:xs="http://www.w3.org/2001/XMLSchema" xmlns:p="http://schemas.microsoft.com/office/2006/metadata/properties" xmlns:ns2="f0674ce6-3900-4aa5-b07d-c70c2faa6725" xmlns:ns3="06580ec9-cc0a-4000-907e-3a703d228103" targetNamespace="http://schemas.microsoft.com/office/2006/metadata/properties" ma:root="true" ma:fieldsID="c551ee0f52bee4bd2b814900a707fc6f" ns2:_="" ns3:_="">
    <xsd:import namespace="f0674ce6-3900-4aa5-b07d-c70c2faa6725"/>
    <xsd:import namespace="06580ec9-cc0a-4000-907e-3a703d22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4ce6-3900-4aa5-b07d-c70c2faa6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0ec9-cc0a-4000-907e-3a703d228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EA811-AA60-44F1-AFB2-BA01529F9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9DB63-C645-4568-86E4-532359A2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74ce6-3900-4aa5-b07d-c70c2faa6725"/>
    <ds:schemaRef ds:uri="06580ec9-cc0a-4000-907e-3a703d228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513C2-1540-40BD-BDB1-B12F71C96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Geraint Pugh [gop2]</dc:creator>
  <cp:lastModifiedBy>Sarah Taylor [srt] (Staff)</cp:lastModifiedBy>
  <cp:revision>3</cp:revision>
  <dcterms:created xsi:type="dcterms:W3CDTF">2021-10-05T11:36:00Z</dcterms:created>
  <dcterms:modified xsi:type="dcterms:W3CDTF">2021-10-05T11:37:00Z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0x010100E640C63CCAC8F943A33BEEC1DC0C32BA</vt:lpwstr>
  </property>
</Properties>
</file>