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279" w:type="dxa"/>
        <w:tblInd w:w="-43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648"/>
        <w:gridCol w:w="3318"/>
        <w:gridCol w:w="7313"/>
      </w:tblGrid>
      <w:tr w:rsidR="00343B5C" w:rsidRPr="00343B5C" w14:paraId="776AD8A5" w14:textId="77777777" w:rsidTr="0052047D">
        <w:trPr>
          <w:trHeight w:val="19"/>
        </w:trPr>
        <w:tc>
          <w:tcPr>
            <w:tcW w:w="15279" w:type="dxa"/>
            <w:gridSpan w:val="3"/>
            <w:tcBorders>
              <w:top w:val="single" w:sz="4" w:space="0" w:color="auto"/>
              <w:left w:val="single" w:sz="4" w:space="0" w:color="auto"/>
              <w:bottom w:val="single" w:sz="4" w:space="0" w:color="auto"/>
              <w:right w:val="single" w:sz="4" w:space="0" w:color="auto"/>
            </w:tcBorders>
            <w:shd w:val="clear" w:color="auto" w:fill="C00000"/>
          </w:tcPr>
          <w:p w14:paraId="6AC735E1" w14:textId="77777777" w:rsidR="00ED4F26" w:rsidRPr="007C74B5" w:rsidRDefault="00ED4F26" w:rsidP="007C74B5">
            <w:pPr>
              <w:jc w:val="center"/>
              <w:rPr>
                <w:b/>
              </w:rPr>
            </w:pPr>
            <w:bookmarkStart w:id="0" w:name="_Toc34053196"/>
            <w:r w:rsidRPr="007C74B5">
              <w:rPr>
                <w:b/>
              </w:rPr>
              <w:t>Fee and Access Plan</w:t>
            </w:r>
            <w:bookmarkEnd w:id="0"/>
          </w:p>
        </w:tc>
      </w:tr>
      <w:tr w:rsidR="00343B5C" w:rsidRPr="00343B5C" w14:paraId="2AEB38CA" w14:textId="77777777" w:rsidTr="0052047D">
        <w:trPr>
          <w:trHeight w:val="297"/>
        </w:trPr>
        <w:tc>
          <w:tcPr>
            <w:tcW w:w="7966" w:type="dxa"/>
            <w:gridSpan w:val="2"/>
            <w:tcBorders>
              <w:top w:val="single" w:sz="4" w:space="0" w:color="auto"/>
              <w:left w:val="single" w:sz="4" w:space="0" w:color="auto"/>
              <w:bottom w:val="single" w:sz="4" w:space="0" w:color="auto"/>
              <w:right w:val="single" w:sz="4" w:space="0" w:color="auto"/>
            </w:tcBorders>
            <w:vAlign w:val="center"/>
          </w:tcPr>
          <w:p w14:paraId="59061EF6" w14:textId="77777777" w:rsidR="00ED4F26" w:rsidRPr="00343B5C" w:rsidRDefault="00ED4F26" w:rsidP="00215C7B">
            <w:pPr>
              <w:spacing w:after="120"/>
              <w:ind w:left="33" w:firstLine="0"/>
              <w:jc w:val="center"/>
            </w:pPr>
            <w:r w:rsidRPr="00343B5C">
              <w:t>Name of institution</w:t>
            </w:r>
          </w:p>
        </w:tc>
        <w:tc>
          <w:tcPr>
            <w:tcW w:w="7313" w:type="dxa"/>
            <w:tcBorders>
              <w:top w:val="single" w:sz="4" w:space="0" w:color="auto"/>
              <w:left w:val="single" w:sz="4" w:space="0" w:color="auto"/>
              <w:bottom w:val="single" w:sz="4" w:space="0" w:color="auto"/>
              <w:right w:val="single" w:sz="4" w:space="0" w:color="auto"/>
            </w:tcBorders>
          </w:tcPr>
          <w:p w14:paraId="5ADEA84B" w14:textId="51AEAAAD" w:rsidR="00ED4F26" w:rsidRPr="00343B5C" w:rsidRDefault="00081BD1" w:rsidP="00215C7B">
            <w:pPr>
              <w:spacing w:after="120"/>
              <w:ind w:left="33" w:firstLine="0"/>
            </w:pPr>
            <w:r>
              <w:t xml:space="preserve">Aberystwyth University </w:t>
            </w:r>
            <w:r w:rsidR="00ED4F26" w:rsidRPr="00343B5C">
              <w:t xml:space="preserve"> </w:t>
            </w:r>
          </w:p>
        </w:tc>
      </w:tr>
      <w:tr w:rsidR="00343B5C" w:rsidRPr="00343B5C" w14:paraId="230B194D" w14:textId="77777777" w:rsidTr="0052047D">
        <w:trPr>
          <w:trHeight w:val="206"/>
        </w:trPr>
        <w:tc>
          <w:tcPr>
            <w:tcW w:w="7966" w:type="dxa"/>
            <w:gridSpan w:val="2"/>
            <w:tcBorders>
              <w:top w:val="single" w:sz="4" w:space="0" w:color="auto"/>
              <w:left w:val="single" w:sz="4" w:space="0" w:color="auto"/>
              <w:bottom w:val="single" w:sz="4" w:space="0" w:color="auto"/>
              <w:right w:val="single" w:sz="4" w:space="0" w:color="auto"/>
            </w:tcBorders>
            <w:vAlign w:val="center"/>
          </w:tcPr>
          <w:p w14:paraId="1CEE544F" w14:textId="77777777" w:rsidR="00ED4F26" w:rsidRPr="00343B5C" w:rsidRDefault="00ED4F26" w:rsidP="00215C7B">
            <w:pPr>
              <w:spacing w:after="120"/>
              <w:ind w:left="33" w:firstLine="0"/>
              <w:jc w:val="center"/>
            </w:pPr>
            <w:r w:rsidRPr="00343B5C">
              <w:t>Duration of the fee and access plan</w:t>
            </w:r>
          </w:p>
        </w:tc>
        <w:tc>
          <w:tcPr>
            <w:tcW w:w="7313" w:type="dxa"/>
            <w:tcBorders>
              <w:top w:val="single" w:sz="4" w:space="0" w:color="auto"/>
              <w:left w:val="single" w:sz="4" w:space="0" w:color="auto"/>
              <w:bottom w:val="single" w:sz="4" w:space="0" w:color="auto"/>
              <w:right w:val="single" w:sz="4" w:space="0" w:color="auto"/>
            </w:tcBorders>
          </w:tcPr>
          <w:p w14:paraId="7E2513A4" w14:textId="590000B6" w:rsidR="00081BD1" w:rsidRPr="00343B5C" w:rsidRDefault="00ED4F26" w:rsidP="00081BD1">
            <w:pPr>
              <w:tabs>
                <w:tab w:val="left" w:pos="1721"/>
              </w:tabs>
              <w:spacing w:after="120"/>
              <w:ind w:left="33" w:firstLine="0"/>
            </w:pPr>
            <w:r w:rsidRPr="00343B5C">
              <w:t xml:space="preserve">1 August 2021 to 31 July 2022 for 2021/22 </w:t>
            </w:r>
          </w:p>
          <w:p w14:paraId="6F6F7C93" w14:textId="640E9AA7" w:rsidR="00ED4F26" w:rsidRPr="00343B5C" w:rsidRDefault="00ED4F26" w:rsidP="00C75774">
            <w:pPr>
              <w:tabs>
                <w:tab w:val="left" w:pos="1721"/>
              </w:tabs>
              <w:spacing w:after="120"/>
              <w:ind w:left="33" w:firstLine="0"/>
            </w:pPr>
          </w:p>
        </w:tc>
      </w:tr>
      <w:tr w:rsidR="00343B5C" w:rsidRPr="00343B5C" w14:paraId="3D34EC8D" w14:textId="77777777" w:rsidTr="0052047D">
        <w:trPr>
          <w:trHeight w:val="18"/>
        </w:trPr>
        <w:tc>
          <w:tcPr>
            <w:tcW w:w="152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C8CDD" w14:textId="4E1DA428" w:rsidR="0060478F" w:rsidRPr="00343B5C" w:rsidRDefault="00ED4F26" w:rsidP="0060478F">
            <w:pPr>
              <w:pStyle w:val="Heading2"/>
              <w:jc w:val="center"/>
              <w:rPr>
                <w:b/>
              </w:rPr>
            </w:pPr>
            <w:bookmarkStart w:id="1" w:name="_Toc34053199"/>
            <w:bookmarkStart w:id="2" w:name="_Toc65494174"/>
            <w:r w:rsidRPr="00343B5C">
              <w:rPr>
                <w:b/>
              </w:rPr>
              <w:t>Section 1 - Fee levels</w:t>
            </w:r>
            <w:bookmarkEnd w:id="1"/>
            <w:bookmarkEnd w:id="2"/>
          </w:p>
        </w:tc>
      </w:tr>
      <w:tr w:rsidR="00343B5C" w:rsidRPr="00343B5C" w14:paraId="3675925B" w14:textId="77777777" w:rsidTr="0052047D">
        <w:trPr>
          <w:trHeight w:val="18"/>
        </w:trPr>
        <w:tc>
          <w:tcPr>
            <w:tcW w:w="152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3B723" w14:textId="3108FF0B" w:rsidR="0060478F" w:rsidRPr="00343B5C" w:rsidRDefault="00ED4F26" w:rsidP="0042211F">
            <w:pPr>
              <w:pStyle w:val="Heading3"/>
              <w:jc w:val="center"/>
            </w:pPr>
            <w:bookmarkStart w:id="3" w:name="_Toc34053200"/>
            <w:bookmarkStart w:id="4" w:name="_Toc65494175"/>
            <w:r w:rsidRPr="00343B5C">
              <w:rPr>
                <w:rFonts w:ascii="Arial" w:hAnsi="Arial" w:cs="Arial"/>
                <w:color w:val="auto"/>
              </w:rPr>
              <w:t>Section 1.1 – Fee levels or the determination of a fee level at each location</w:t>
            </w:r>
            <w:bookmarkEnd w:id="3"/>
            <w:bookmarkEnd w:id="4"/>
          </w:p>
        </w:tc>
      </w:tr>
      <w:tr w:rsidR="00343B5C" w:rsidRPr="00343B5C" w14:paraId="036271BA" w14:textId="77777777" w:rsidTr="0052047D">
        <w:trPr>
          <w:trHeight w:val="18"/>
        </w:trPr>
        <w:tc>
          <w:tcPr>
            <w:tcW w:w="4648" w:type="dxa"/>
            <w:tcBorders>
              <w:top w:val="single" w:sz="4" w:space="0" w:color="auto"/>
              <w:left w:val="single" w:sz="4" w:space="0" w:color="auto"/>
              <w:bottom w:val="single" w:sz="4" w:space="0" w:color="auto"/>
              <w:right w:val="single" w:sz="4" w:space="0" w:color="auto"/>
            </w:tcBorders>
            <w:vAlign w:val="center"/>
          </w:tcPr>
          <w:p w14:paraId="577C8253" w14:textId="476E2037" w:rsidR="00ED4F26" w:rsidRPr="00343B5C" w:rsidRDefault="00360339" w:rsidP="00B80B2B">
            <w:pPr>
              <w:ind w:left="34" w:firstLine="0"/>
              <w:jc w:val="center"/>
              <w:rPr>
                <w:b/>
              </w:rPr>
            </w:pPr>
            <w:r w:rsidRPr="00343B5C">
              <w:rPr>
                <w:b/>
              </w:rPr>
              <w:t>Fee level</w:t>
            </w:r>
          </w:p>
        </w:tc>
        <w:tc>
          <w:tcPr>
            <w:tcW w:w="10631" w:type="dxa"/>
            <w:gridSpan w:val="2"/>
            <w:tcBorders>
              <w:top w:val="single" w:sz="4" w:space="0" w:color="auto"/>
              <w:left w:val="single" w:sz="4" w:space="0" w:color="auto"/>
              <w:bottom w:val="single" w:sz="4" w:space="0" w:color="auto"/>
              <w:right w:val="single" w:sz="4" w:space="0" w:color="auto"/>
            </w:tcBorders>
            <w:vAlign w:val="center"/>
          </w:tcPr>
          <w:p w14:paraId="53050A21" w14:textId="57953D9E" w:rsidR="00ED4F26" w:rsidRPr="00343B5C" w:rsidRDefault="00ED4F26" w:rsidP="00B80B2B">
            <w:pPr>
              <w:ind w:left="34" w:firstLine="0"/>
              <w:jc w:val="center"/>
              <w:rPr>
                <w:b/>
              </w:rPr>
            </w:pPr>
            <w:r w:rsidRPr="00343B5C">
              <w:rPr>
                <w:b/>
              </w:rPr>
              <w:t>Location of course</w:t>
            </w:r>
          </w:p>
        </w:tc>
      </w:tr>
      <w:tr w:rsidR="00343B5C" w:rsidRPr="00343B5C" w14:paraId="75A9EB54" w14:textId="77777777" w:rsidTr="0052047D">
        <w:trPr>
          <w:trHeight w:val="3602"/>
        </w:trPr>
        <w:tc>
          <w:tcPr>
            <w:tcW w:w="15279" w:type="dxa"/>
            <w:gridSpan w:val="3"/>
            <w:tcBorders>
              <w:top w:val="single" w:sz="4" w:space="0" w:color="auto"/>
              <w:left w:val="single" w:sz="4" w:space="0" w:color="auto"/>
              <w:bottom w:val="single" w:sz="4" w:space="0" w:color="auto"/>
              <w:right w:val="single" w:sz="4" w:space="0" w:color="auto"/>
            </w:tcBorders>
            <w:vAlign w:val="center"/>
          </w:tcPr>
          <w:p w14:paraId="5A20AFE7" w14:textId="77777777" w:rsidR="00735F56" w:rsidRDefault="00735F56" w:rsidP="00B80B2B">
            <w:pPr>
              <w:ind w:left="34" w:firstLine="0"/>
            </w:pPr>
          </w:p>
          <w:p w14:paraId="1B4BCD31" w14:textId="36FD6D14" w:rsidR="00EA6E86" w:rsidRPr="005B7B08" w:rsidRDefault="004E241B" w:rsidP="00F24C28">
            <w:pPr>
              <w:ind w:left="320" w:firstLine="0"/>
              <w:rPr>
                <w:rFonts w:cs="Arial"/>
                <w:color w:val="4E4E4E"/>
                <w:spacing w:val="-3"/>
                <w:sz w:val="22"/>
                <w:szCs w:val="22"/>
              </w:rPr>
            </w:pPr>
            <w:r w:rsidRPr="00693885">
              <w:rPr>
                <w:sz w:val="22"/>
                <w:szCs w:val="22"/>
              </w:rPr>
              <w:t>Aberystwyth will charge the maximum</w:t>
            </w:r>
            <w:r>
              <w:rPr>
                <w:sz w:val="22"/>
                <w:szCs w:val="22"/>
              </w:rPr>
              <w:t xml:space="preserve"> regulated</w:t>
            </w:r>
            <w:r w:rsidRPr="00693885">
              <w:rPr>
                <w:sz w:val="22"/>
                <w:szCs w:val="22"/>
              </w:rPr>
              <w:t xml:space="preserve"> fee level for Full-time Home Undergraduate and PGCE students covered by this plan, which covers the period 2021/22 only</w:t>
            </w:r>
            <w:r w:rsidR="00F24C28">
              <w:rPr>
                <w:sz w:val="22"/>
                <w:szCs w:val="22"/>
              </w:rPr>
              <w:t>.</w:t>
            </w:r>
            <w:r w:rsidR="00EA6E86" w:rsidRPr="005B7B08">
              <w:rPr>
                <w:rFonts w:cs="Arial"/>
                <w:color w:val="000000" w:themeColor="text1"/>
                <w:spacing w:val="-3"/>
                <w:sz w:val="22"/>
                <w:szCs w:val="22"/>
              </w:rPr>
              <w:br/>
            </w:r>
            <w:r w:rsidR="00EA6E86" w:rsidRPr="005B7B08">
              <w:rPr>
                <w:rFonts w:cs="Arial"/>
                <w:color w:val="000000" w:themeColor="text1"/>
                <w:spacing w:val="-3"/>
                <w:sz w:val="22"/>
                <w:szCs w:val="22"/>
              </w:rPr>
              <w:br/>
              <w:t>We will inform all applicants and students of the fee levels for</w:t>
            </w:r>
            <w:r w:rsidR="00EA6E86" w:rsidRPr="005B7B08">
              <w:rPr>
                <w:rStyle w:val="apple-converted-space"/>
                <w:rFonts w:cs="Arial"/>
                <w:color w:val="000000" w:themeColor="text1"/>
                <w:spacing w:val="-3"/>
                <w:sz w:val="22"/>
                <w:szCs w:val="22"/>
              </w:rPr>
              <w:t> </w:t>
            </w:r>
            <w:r w:rsidR="00EA6E86" w:rsidRPr="005B7B08">
              <w:rPr>
                <w:rFonts w:cs="Arial"/>
                <w:color w:val="000000" w:themeColor="text1"/>
                <w:spacing w:val="-3"/>
                <w:sz w:val="22"/>
                <w:szCs w:val="22"/>
              </w:rPr>
              <w:t>2021/22</w:t>
            </w:r>
            <w:r w:rsidR="00EA6E86" w:rsidRPr="005B7B08">
              <w:rPr>
                <w:rStyle w:val="apple-converted-space"/>
                <w:rFonts w:cs="Arial"/>
                <w:color w:val="000000" w:themeColor="text1"/>
                <w:spacing w:val="-3"/>
                <w:sz w:val="22"/>
                <w:szCs w:val="22"/>
              </w:rPr>
              <w:t> </w:t>
            </w:r>
            <w:r w:rsidR="00EA6E86" w:rsidRPr="005B7B08">
              <w:rPr>
                <w:rFonts w:cs="Arial"/>
                <w:color w:val="000000" w:themeColor="text1"/>
                <w:spacing w:val="-3"/>
                <w:sz w:val="22"/>
                <w:szCs w:val="22"/>
              </w:rPr>
              <w:t xml:space="preserve">and any inflation-linked increases for successive years of study as soon as confirmation is received from Welsh Government, and will publish updates </w:t>
            </w:r>
            <w:r w:rsidR="0093738B" w:rsidRPr="005B7B08">
              <w:rPr>
                <w:rFonts w:cs="Arial"/>
                <w:color w:val="000000" w:themeColor="text1"/>
                <w:spacing w:val="-3"/>
                <w:sz w:val="22"/>
                <w:szCs w:val="22"/>
              </w:rPr>
              <w:t xml:space="preserve">on our website. </w:t>
            </w:r>
            <w:r w:rsidR="00EA6E86" w:rsidRPr="005B7B08">
              <w:rPr>
                <w:rFonts w:cs="Arial"/>
                <w:color w:val="000000" w:themeColor="text1"/>
                <w:spacing w:val="-3"/>
                <w:sz w:val="22"/>
                <w:szCs w:val="22"/>
              </w:rPr>
              <w:t>Up to date details of the relevant fees will be set out in our offer documentation</w:t>
            </w:r>
            <w:r w:rsidR="00EA6E86" w:rsidRPr="005B7B08">
              <w:rPr>
                <w:rFonts w:cs="Arial"/>
                <w:color w:val="4E4E4E"/>
                <w:spacing w:val="-3"/>
                <w:sz w:val="22"/>
                <w:szCs w:val="22"/>
              </w:rPr>
              <w:t>.</w:t>
            </w:r>
          </w:p>
          <w:p w14:paraId="1CA364EE" w14:textId="4363B875" w:rsidR="005B7B08" w:rsidRPr="005B7B08" w:rsidRDefault="005B7B08" w:rsidP="0093738B">
            <w:pPr>
              <w:ind w:left="320" w:firstLine="0"/>
              <w:rPr>
                <w:sz w:val="22"/>
                <w:szCs w:val="22"/>
                <w:lang w:eastAsia="en-US"/>
              </w:rPr>
            </w:pPr>
          </w:p>
          <w:p w14:paraId="481556A6" w14:textId="5685E756" w:rsidR="00735F56" w:rsidRPr="00343B5C" w:rsidRDefault="005B7B08" w:rsidP="005B7B08">
            <w:pPr>
              <w:ind w:left="320" w:firstLine="0"/>
            </w:pPr>
            <w:r w:rsidRPr="005B7B08">
              <w:rPr>
                <w:sz w:val="22"/>
                <w:szCs w:val="22"/>
                <w:lang w:eastAsia="en-US"/>
              </w:rPr>
              <w:t xml:space="preserve">Fees for UG programmes offered by our Franchise Partners are determined in agreements with our franchise partners. Where these are offered at less than maximum they may be subject to annual review, </w:t>
            </w:r>
            <w:r w:rsidRPr="005B7B08">
              <w:rPr>
                <w:rFonts w:eastAsia="Times New Roman" w:cs="Arial"/>
                <w:color w:val="000000" w:themeColor="text1"/>
                <w:sz w:val="22"/>
                <w:szCs w:val="22"/>
                <w:shd w:val="clear" w:color="auto" w:fill="FFFFFF"/>
              </w:rPr>
              <w:t>which could result in increases of never more than inflation or 5% year on year (whichever is the lower).</w:t>
            </w:r>
          </w:p>
        </w:tc>
      </w:tr>
      <w:tr w:rsidR="00343B5C" w:rsidRPr="00343B5C" w14:paraId="680DF7B2" w14:textId="77777777" w:rsidTr="0052047D">
        <w:trPr>
          <w:trHeight w:val="118"/>
        </w:trPr>
        <w:tc>
          <w:tcPr>
            <w:tcW w:w="152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2EEC1" w14:textId="77777777" w:rsidR="00ED4F26" w:rsidRPr="00343B5C" w:rsidRDefault="00ED4F26" w:rsidP="00E663B2">
            <w:pPr>
              <w:pStyle w:val="Heading3"/>
              <w:jc w:val="center"/>
              <w:rPr>
                <w:rFonts w:ascii="Arial" w:hAnsi="Arial" w:cs="Arial"/>
                <w:color w:val="auto"/>
              </w:rPr>
            </w:pPr>
            <w:bookmarkStart w:id="5" w:name="_Toc34053201"/>
            <w:bookmarkStart w:id="6" w:name="_Toc65494176"/>
            <w:r w:rsidRPr="00343B5C">
              <w:rPr>
                <w:rFonts w:ascii="Arial" w:hAnsi="Arial" w:cs="Arial"/>
                <w:color w:val="auto"/>
              </w:rPr>
              <w:lastRenderedPageBreak/>
              <w:t>Section 1.2 - Aggregate fee levels</w:t>
            </w:r>
            <w:bookmarkEnd w:id="5"/>
            <w:bookmarkEnd w:id="6"/>
          </w:p>
          <w:p w14:paraId="12B5EB3B" w14:textId="6A3D3494" w:rsidR="0060478F" w:rsidRPr="00343B5C" w:rsidRDefault="0060478F" w:rsidP="00D54A3F"/>
        </w:tc>
      </w:tr>
      <w:tr w:rsidR="00343B5C" w:rsidRPr="00343B5C" w14:paraId="4F7F9CB2" w14:textId="77777777" w:rsidTr="0052047D">
        <w:trPr>
          <w:trHeight w:val="1591"/>
        </w:trPr>
        <w:tc>
          <w:tcPr>
            <w:tcW w:w="15279" w:type="dxa"/>
            <w:gridSpan w:val="3"/>
            <w:tcBorders>
              <w:top w:val="single" w:sz="4" w:space="0" w:color="auto"/>
              <w:left w:val="single" w:sz="4" w:space="0" w:color="auto"/>
              <w:bottom w:val="single" w:sz="4" w:space="0" w:color="auto"/>
              <w:right w:val="single" w:sz="4" w:space="0" w:color="auto"/>
            </w:tcBorders>
            <w:vAlign w:val="center"/>
          </w:tcPr>
          <w:p w14:paraId="44907D05" w14:textId="7E183F82" w:rsidR="00735F56" w:rsidRPr="00693885" w:rsidRDefault="00735F56" w:rsidP="00735F56">
            <w:pPr>
              <w:ind w:left="0" w:firstLine="0"/>
              <w:rPr>
                <w:sz w:val="22"/>
                <w:szCs w:val="22"/>
              </w:rPr>
            </w:pPr>
            <w:r w:rsidRPr="00693885">
              <w:rPr>
                <w:sz w:val="22"/>
                <w:szCs w:val="22"/>
              </w:rPr>
              <w:t>Aberystwyth will charge the maximum</w:t>
            </w:r>
            <w:r w:rsidR="004E241B">
              <w:rPr>
                <w:sz w:val="22"/>
                <w:szCs w:val="22"/>
              </w:rPr>
              <w:t xml:space="preserve"> regulated</w:t>
            </w:r>
            <w:r w:rsidRPr="00693885">
              <w:rPr>
                <w:sz w:val="22"/>
                <w:szCs w:val="22"/>
              </w:rPr>
              <w:t xml:space="preserve"> fee level for Full-time Home Undergraduate and PGCE students covered by this plan, which covers the period 2021/22 only. The maximum fee is governed by the Welsh Government, and is currently £9,000. Any increase in the FT Hom</w:t>
            </w:r>
            <w:r w:rsidR="007C41D4">
              <w:rPr>
                <w:sz w:val="22"/>
                <w:szCs w:val="22"/>
              </w:rPr>
              <w:t>e</w:t>
            </w:r>
            <w:r w:rsidR="00F24C28">
              <w:rPr>
                <w:sz w:val="22"/>
                <w:szCs w:val="22"/>
              </w:rPr>
              <w:t xml:space="preserve"> UG</w:t>
            </w:r>
            <w:r w:rsidR="007C41D4">
              <w:rPr>
                <w:sz w:val="22"/>
                <w:szCs w:val="22"/>
              </w:rPr>
              <w:t xml:space="preserve"> </w:t>
            </w:r>
            <w:r w:rsidRPr="00693885">
              <w:rPr>
                <w:sz w:val="22"/>
                <w:szCs w:val="22"/>
              </w:rPr>
              <w:t xml:space="preserve">and PGCE fee for future years of the course will be tied to the maximum fee rise, to be set by Welsh Government.  Aggregate fees for the whole duration of the course will depend on the length of the programme (most of our UG programmes are three or four years long), and whether or not the programme includes a Study Year Abroad (current fee is £1,350) or a Year in Industry (current fee is £1,800), and whether there are inflation-linked increases as outlined above. </w:t>
            </w:r>
          </w:p>
          <w:p w14:paraId="76190593" w14:textId="77777777" w:rsidR="00735F56" w:rsidRPr="00693885" w:rsidRDefault="00735F56" w:rsidP="00735F56">
            <w:pPr>
              <w:ind w:left="0" w:firstLine="0"/>
              <w:rPr>
                <w:sz w:val="22"/>
                <w:szCs w:val="22"/>
              </w:rPr>
            </w:pPr>
          </w:p>
          <w:p w14:paraId="46EA3C95" w14:textId="77777777" w:rsidR="00F24C28" w:rsidRDefault="00F24C28" w:rsidP="00294FAE">
            <w:pPr>
              <w:ind w:left="0" w:firstLine="0"/>
              <w:rPr>
                <w:sz w:val="22"/>
                <w:szCs w:val="22"/>
              </w:rPr>
            </w:pPr>
            <w:r>
              <w:rPr>
                <w:sz w:val="22"/>
                <w:szCs w:val="22"/>
              </w:rPr>
              <w:t>The Welsh Government has confirmed this fee will not apply to students from non-UK EU countries from 1</w:t>
            </w:r>
            <w:r w:rsidRPr="00220FC6">
              <w:rPr>
                <w:sz w:val="22"/>
                <w:szCs w:val="22"/>
                <w:vertAlign w:val="superscript"/>
              </w:rPr>
              <w:t>st</w:t>
            </w:r>
            <w:r>
              <w:rPr>
                <w:sz w:val="22"/>
                <w:szCs w:val="22"/>
              </w:rPr>
              <w:t xml:space="preserve"> August 2021.</w:t>
            </w:r>
          </w:p>
          <w:p w14:paraId="38F7D3A9" w14:textId="2DCFF521" w:rsidR="00735F56" w:rsidRPr="00693885" w:rsidRDefault="00735F56" w:rsidP="00735F56">
            <w:pPr>
              <w:ind w:left="0" w:firstLine="0"/>
              <w:rPr>
                <w:sz w:val="22"/>
                <w:szCs w:val="22"/>
              </w:rPr>
            </w:pPr>
          </w:p>
          <w:p w14:paraId="167FCC98" w14:textId="77777777" w:rsidR="00735F56" w:rsidRPr="00693885" w:rsidRDefault="00735F56" w:rsidP="00735F56">
            <w:pPr>
              <w:tabs>
                <w:tab w:val="left" w:pos="2043"/>
              </w:tabs>
              <w:ind w:left="0" w:firstLine="0"/>
              <w:rPr>
                <w:sz w:val="22"/>
                <w:szCs w:val="22"/>
              </w:rPr>
            </w:pPr>
            <w:r w:rsidRPr="00693885">
              <w:rPr>
                <w:sz w:val="22"/>
                <w:szCs w:val="22"/>
              </w:rPr>
              <w:tab/>
            </w:r>
          </w:p>
          <w:p w14:paraId="3FD8A0A9" w14:textId="1E40E46D" w:rsidR="00735F56" w:rsidRPr="00693885" w:rsidRDefault="00735F56" w:rsidP="00735F56">
            <w:pPr>
              <w:tabs>
                <w:tab w:val="left" w:pos="2043"/>
              </w:tabs>
              <w:ind w:left="0" w:firstLine="0"/>
              <w:rPr>
                <w:sz w:val="22"/>
                <w:szCs w:val="22"/>
              </w:rPr>
            </w:pPr>
            <w:r w:rsidRPr="00693885">
              <w:rPr>
                <w:sz w:val="22"/>
                <w:szCs w:val="22"/>
              </w:rPr>
              <w:t>For Undergraduate programmes with an integrated study year abroad, the Study Year Abroad is charged at 15% of the maximum</w:t>
            </w:r>
            <w:r w:rsidR="00CD4F64">
              <w:rPr>
                <w:sz w:val="22"/>
                <w:szCs w:val="22"/>
              </w:rPr>
              <w:t xml:space="preserve"> regulated</w:t>
            </w:r>
            <w:r w:rsidRPr="00693885">
              <w:rPr>
                <w:sz w:val="22"/>
                <w:szCs w:val="22"/>
              </w:rPr>
              <w:t xml:space="preserve"> fee, in line with HEFCW guidelines. </w:t>
            </w:r>
          </w:p>
          <w:p w14:paraId="74984B22" w14:textId="77777777" w:rsidR="00735F56" w:rsidRPr="00693885" w:rsidRDefault="00735F56" w:rsidP="00735F56">
            <w:pPr>
              <w:tabs>
                <w:tab w:val="left" w:pos="2043"/>
              </w:tabs>
              <w:ind w:left="0" w:firstLine="0"/>
              <w:rPr>
                <w:sz w:val="22"/>
                <w:szCs w:val="22"/>
              </w:rPr>
            </w:pPr>
          </w:p>
          <w:p w14:paraId="11874C18" w14:textId="3BF08322" w:rsidR="00735F56" w:rsidRPr="00693885" w:rsidRDefault="00735F56" w:rsidP="00735F56">
            <w:pPr>
              <w:tabs>
                <w:tab w:val="left" w:pos="2043"/>
              </w:tabs>
              <w:ind w:left="0" w:firstLine="0"/>
              <w:rPr>
                <w:rFonts w:cs="Arial"/>
                <w:sz w:val="22"/>
                <w:szCs w:val="22"/>
              </w:rPr>
            </w:pPr>
            <w:r w:rsidRPr="00693885">
              <w:rPr>
                <w:sz w:val="22"/>
                <w:szCs w:val="22"/>
              </w:rPr>
              <w:t>For Undergraduate programmes with an integrated year in industry/integrated year in professional practice, the fee for the sandwich year is charged at 20% of the maximum</w:t>
            </w:r>
            <w:r w:rsidR="00CD4F64">
              <w:rPr>
                <w:sz w:val="22"/>
                <w:szCs w:val="22"/>
              </w:rPr>
              <w:t xml:space="preserve"> </w:t>
            </w:r>
            <w:proofErr w:type="gramStart"/>
            <w:r w:rsidR="00CD4F64">
              <w:rPr>
                <w:sz w:val="22"/>
                <w:szCs w:val="22"/>
              </w:rPr>
              <w:t xml:space="preserve">regulated </w:t>
            </w:r>
            <w:r w:rsidRPr="00693885">
              <w:rPr>
                <w:sz w:val="22"/>
                <w:szCs w:val="22"/>
              </w:rPr>
              <w:t xml:space="preserve"> fee</w:t>
            </w:r>
            <w:proofErr w:type="gramEnd"/>
            <w:r w:rsidRPr="00693885">
              <w:rPr>
                <w:sz w:val="22"/>
                <w:szCs w:val="22"/>
              </w:rPr>
              <w:t xml:space="preserve">, in line </w:t>
            </w:r>
            <w:r w:rsidRPr="00693885">
              <w:rPr>
                <w:rFonts w:cs="Arial"/>
                <w:sz w:val="22"/>
                <w:szCs w:val="22"/>
              </w:rPr>
              <w:t xml:space="preserve">with HEFCW guidelines. </w:t>
            </w:r>
          </w:p>
          <w:p w14:paraId="0E7EE833" w14:textId="77777777" w:rsidR="00735F56" w:rsidRPr="00693885" w:rsidRDefault="00735F56" w:rsidP="00735F56">
            <w:pPr>
              <w:tabs>
                <w:tab w:val="left" w:pos="2043"/>
              </w:tabs>
              <w:ind w:left="0" w:firstLine="0"/>
              <w:rPr>
                <w:rFonts w:cs="Arial"/>
                <w:sz w:val="22"/>
                <w:szCs w:val="22"/>
              </w:rPr>
            </w:pPr>
            <w:r w:rsidRPr="00693885">
              <w:rPr>
                <w:rFonts w:cs="Arial"/>
                <w:sz w:val="22"/>
                <w:szCs w:val="22"/>
              </w:rPr>
              <w:t xml:space="preserve"> </w:t>
            </w:r>
          </w:p>
          <w:p w14:paraId="359E97D6" w14:textId="5ED6F63C" w:rsidR="00735F56" w:rsidRPr="00693885" w:rsidRDefault="00735F56" w:rsidP="00735F56">
            <w:pPr>
              <w:ind w:left="0" w:firstLine="0"/>
              <w:rPr>
                <w:rFonts w:eastAsia="Times New Roman" w:cs="Arial"/>
                <w:color w:val="000000" w:themeColor="text1"/>
                <w:sz w:val="22"/>
                <w:szCs w:val="22"/>
              </w:rPr>
            </w:pPr>
            <w:r w:rsidRPr="00693885">
              <w:rPr>
                <w:rFonts w:eastAsia="Times New Roman" w:cs="Arial"/>
                <w:color w:val="000000" w:themeColor="text1"/>
                <w:sz w:val="22"/>
                <w:szCs w:val="22"/>
                <w:shd w:val="clear" w:color="auto" w:fill="FFFFFF"/>
              </w:rPr>
              <w:t>Fees for UG programmes which are offered at less than maximum (including those at our Franchise partners) may be subject to annual review</w:t>
            </w:r>
            <w:r w:rsidR="00D173EE">
              <w:rPr>
                <w:rFonts w:eastAsia="Times New Roman" w:cs="Arial"/>
                <w:color w:val="000000" w:themeColor="text1"/>
                <w:sz w:val="22"/>
                <w:szCs w:val="22"/>
                <w:shd w:val="clear" w:color="auto" w:fill="FFFFFF"/>
              </w:rPr>
              <w:t xml:space="preserve">. </w:t>
            </w:r>
            <w:r w:rsidRPr="00693885">
              <w:rPr>
                <w:rFonts w:eastAsia="Times New Roman" w:cs="Arial"/>
                <w:color w:val="000000" w:themeColor="text1"/>
                <w:sz w:val="22"/>
                <w:szCs w:val="22"/>
                <w:shd w:val="clear" w:color="auto" w:fill="FFFFFF"/>
              </w:rPr>
              <w:t>At the time of writing some courses delivered by our Franchise Partner, Coleg Gwent are delivered at £7,500.</w:t>
            </w:r>
          </w:p>
          <w:p w14:paraId="2033C622" w14:textId="77777777" w:rsidR="00735F56" w:rsidRPr="00693885" w:rsidRDefault="00735F56" w:rsidP="00735F56">
            <w:pPr>
              <w:ind w:left="0" w:firstLine="0"/>
              <w:rPr>
                <w:sz w:val="22"/>
                <w:szCs w:val="22"/>
              </w:rPr>
            </w:pPr>
          </w:p>
          <w:p w14:paraId="5E522EE3" w14:textId="0E0FF0A8" w:rsidR="00DB01D5" w:rsidRPr="00693885" w:rsidRDefault="00735F56" w:rsidP="00735F56">
            <w:pPr>
              <w:ind w:left="0" w:firstLine="0"/>
              <w:rPr>
                <w:rFonts w:cs="Arial"/>
                <w:sz w:val="22"/>
                <w:szCs w:val="22"/>
              </w:rPr>
            </w:pPr>
            <w:r w:rsidRPr="00693885">
              <w:rPr>
                <w:rFonts w:cs="Arial"/>
                <w:sz w:val="22"/>
                <w:szCs w:val="22"/>
              </w:rPr>
              <w:t>Information on fees may be found on the University’s website at</w:t>
            </w:r>
            <w:r w:rsidR="00DB01D5" w:rsidRPr="00693885">
              <w:rPr>
                <w:rFonts w:cs="Arial"/>
                <w:sz w:val="22"/>
                <w:szCs w:val="22"/>
              </w:rPr>
              <w:t xml:space="preserve"> </w:t>
            </w:r>
            <w:hyperlink r:id="rId8" w:history="1">
              <w:r w:rsidR="00DB01D5" w:rsidRPr="00693885">
                <w:rPr>
                  <w:rStyle w:val="Hyperlink"/>
                  <w:rFonts w:cs="Arial"/>
                  <w:sz w:val="22"/>
                  <w:szCs w:val="22"/>
                </w:rPr>
                <w:t>https://www.aber.ac.uk/en/undergrad/before-you-apply/fees-finance/tuition-fees/#</w:t>
              </w:r>
            </w:hyperlink>
          </w:p>
          <w:p w14:paraId="7D44D493" w14:textId="77003730" w:rsidR="00735F56" w:rsidRPr="00693885" w:rsidRDefault="00735F56" w:rsidP="00735F56">
            <w:pPr>
              <w:ind w:left="0" w:firstLine="0"/>
              <w:rPr>
                <w:rFonts w:cs="Arial"/>
                <w:sz w:val="22"/>
                <w:szCs w:val="22"/>
                <w:lang w:eastAsia="en-US"/>
              </w:rPr>
            </w:pPr>
            <w:r w:rsidRPr="00693885">
              <w:rPr>
                <w:rStyle w:val="Hyperlink"/>
                <w:rFonts w:cs="Arial"/>
                <w:sz w:val="22"/>
                <w:szCs w:val="22"/>
              </w:rPr>
              <w:t xml:space="preserve">. Fee Terms and Conditions, including a section on fee increases, may be found at </w:t>
            </w:r>
            <w:r w:rsidRPr="00693885">
              <w:rPr>
                <w:rFonts w:cs="Arial"/>
                <w:color w:val="000000"/>
                <w:sz w:val="22"/>
                <w:szCs w:val="22"/>
              </w:rPr>
              <w:t> </w:t>
            </w:r>
            <w:hyperlink r:id="rId9" w:history="1">
              <w:r w:rsidRPr="00693885">
                <w:rPr>
                  <w:rStyle w:val="Hyperlink"/>
                  <w:rFonts w:cs="Arial"/>
                  <w:sz w:val="22"/>
                  <w:szCs w:val="22"/>
                </w:rPr>
                <w:t>https://www.aber.ac.uk/en/undergrad/terms-conditions/</w:t>
              </w:r>
            </w:hyperlink>
            <w:r w:rsidRPr="00693885">
              <w:rPr>
                <w:rFonts w:cs="Arial"/>
                <w:color w:val="000000"/>
                <w:sz w:val="22"/>
                <w:szCs w:val="22"/>
              </w:rPr>
              <w:t>)</w:t>
            </w:r>
          </w:p>
          <w:p w14:paraId="549BFD84" w14:textId="77777777" w:rsidR="00735F56" w:rsidRPr="00693885" w:rsidRDefault="00735F56" w:rsidP="00735F56">
            <w:pPr>
              <w:ind w:left="0" w:firstLine="0"/>
              <w:rPr>
                <w:rFonts w:cs="Arial"/>
                <w:sz w:val="22"/>
                <w:szCs w:val="22"/>
              </w:rPr>
            </w:pPr>
            <w:r w:rsidRPr="00693885">
              <w:rPr>
                <w:rFonts w:cs="Arial"/>
                <w:sz w:val="22"/>
                <w:szCs w:val="22"/>
              </w:rPr>
              <w:t xml:space="preserve"> </w:t>
            </w:r>
          </w:p>
          <w:p w14:paraId="7F59A35D" w14:textId="77777777" w:rsidR="00735F56" w:rsidRPr="00693885" w:rsidRDefault="00735F56" w:rsidP="00735F56">
            <w:pPr>
              <w:ind w:left="0" w:firstLine="0"/>
              <w:rPr>
                <w:sz w:val="22"/>
                <w:szCs w:val="22"/>
              </w:rPr>
            </w:pPr>
          </w:p>
          <w:p w14:paraId="2CDD3500" w14:textId="1A24F15F" w:rsidR="00735F56" w:rsidRPr="0038703D" w:rsidRDefault="00735F56" w:rsidP="00735F56">
            <w:pPr>
              <w:ind w:left="0" w:firstLine="0"/>
              <w:rPr>
                <w:rFonts w:eastAsia="Times New Roman" w:cs="Arial"/>
                <w:color w:val="4E4E4E"/>
                <w:spacing w:val="-4"/>
                <w:sz w:val="22"/>
                <w:szCs w:val="22"/>
                <w:shd w:val="clear" w:color="auto" w:fill="FFFFFF"/>
                <w:lang w:val="en-US" w:eastAsia="en-US"/>
              </w:rPr>
            </w:pPr>
            <w:r w:rsidRPr="00693885">
              <w:rPr>
                <w:rFonts w:eastAsia="Times New Roman" w:cs="Arial"/>
                <w:color w:val="4E4E4E"/>
                <w:spacing w:val="-4"/>
                <w:sz w:val="22"/>
                <w:szCs w:val="22"/>
                <w:shd w:val="clear" w:color="auto" w:fill="FFFFFF"/>
                <w:lang w:val="en-US" w:eastAsia="en-US"/>
              </w:rPr>
              <w:t>Tuition fees for Home</w:t>
            </w:r>
            <w:r w:rsidR="00C32A35">
              <w:rPr>
                <w:rFonts w:eastAsia="Times New Roman" w:cs="Arial"/>
                <w:color w:val="4E4E4E"/>
                <w:spacing w:val="-4"/>
                <w:sz w:val="22"/>
                <w:szCs w:val="22"/>
                <w:shd w:val="clear" w:color="auto" w:fill="FFFFFF"/>
                <w:lang w:val="en-US" w:eastAsia="en-US"/>
              </w:rPr>
              <w:t xml:space="preserve"> Undergraduates </w:t>
            </w:r>
            <w:r w:rsidRPr="00693885">
              <w:rPr>
                <w:rFonts w:eastAsia="Times New Roman" w:cs="Arial"/>
                <w:color w:val="4E4E4E"/>
                <w:spacing w:val="-4"/>
                <w:sz w:val="22"/>
                <w:szCs w:val="22"/>
                <w:shd w:val="clear" w:color="auto" w:fill="FFFFFF"/>
                <w:lang w:val="en-US" w:eastAsia="en-US"/>
              </w:rPr>
              <w:t>are regulated by the Welsh Government. The University will amend all Home undergraduate Tuition Fees in line with any alteration advised by the Welsh Government. We comply with CMA guidelines in the development of all communications.</w:t>
            </w:r>
          </w:p>
          <w:p w14:paraId="07291E64" w14:textId="08872B30" w:rsidR="00735F56" w:rsidRPr="00343B5C" w:rsidRDefault="00735F56" w:rsidP="0060478F">
            <w:pPr>
              <w:spacing w:after="120"/>
              <w:ind w:left="0" w:firstLine="0"/>
            </w:pPr>
          </w:p>
        </w:tc>
      </w:tr>
    </w:tbl>
    <w:p w14:paraId="31BDAD3E" w14:textId="77777777" w:rsidR="00935FD2" w:rsidRPr="00343B5C" w:rsidRDefault="00935FD2" w:rsidP="00813701">
      <w:pPr>
        <w:ind w:left="0" w:firstLine="0"/>
      </w:pPr>
      <w:bookmarkStart w:id="7" w:name="_Toc65494186"/>
      <w:bookmarkStart w:id="8" w:name="_Toc65494187"/>
      <w:bookmarkStart w:id="9" w:name="_Toc65494189"/>
      <w:bookmarkEnd w:id="7"/>
      <w:bookmarkEnd w:id="8"/>
      <w:bookmarkEnd w:id="9"/>
    </w:p>
    <w:sectPr w:rsidR="00935FD2" w:rsidRPr="00343B5C" w:rsidSect="00FB47F0">
      <w:headerReference w:type="default" r:id="rId10"/>
      <w:footerReference w:type="default" r:id="rId11"/>
      <w:pgSz w:w="16838" w:h="11906" w:orient="landscape"/>
      <w:pgMar w:top="284"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E878" w14:textId="77777777" w:rsidR="00F07E33" w:rsidRDefault="00F07E33" w:rsidP="004128AB">
      <w:r>
        <w:separator/>
      </w:r>
    </w:p>
  </w:endnote>
  <w:endnote w:type="continuationSeparator" w:id="0">
    <w:p w14:paraId="61E6E62D" w14:textId="77777777" w:rsidR="00F07E33" w:rsidRDefault="00F07E33" w:rsidP="004128AB">
      <w:r>
        <w:continuationSeparator/>
      </w:r>
    </w:p>
  </w:endnote>
  <w:endnote w:type="continuationNotice" w:id="1">
    <w:p w14:paraId="4D645F60" w14:textId="77777777" w:rsidR="00F07E33" w:rsidRDefault="00F07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51476"/>
      <w:docPartObj>
        <w:docPartGallery w:val="Page Numbers (Bottom of Page)"/>
        <w:docPartUnique/>
      </w:docPartObj>
    </w:sdtPr>
    <w:sdtEndPr>
      <w:rPr>
        <w:noProof/>
      </w:rPr>
    </w:sdtEndPr>
    <w:sdtContent>
      <w:p w14:paraId="4B101B95" w14:textId="51F85EA6" w:rsidR="005F1F1B" w:rsidRDefault="005F1F1B" w:rsidP="00F211E6">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CFB4" w14:textId="77777777" w:rsidR="00F07E33" w:rsidRDefault="00F07E33" w:rsidP="004128AB">
      <w:r>
        <w:separator/>
      </w:r>
    </w:p>
  </w:footnote>
  <w:footnote w:type="continuationSeparator" w:id="0">
    <w:p w14:paraId="17015FE7" w14:textId="77777777" w:rsidR="00F07E33" w:rsidRDefault="00F07E33" w:rsidP="004128AB">
      <w:r>
        <w:continuationSeparator/>
      </w:r>
    </w:p>
  </w:footnote>
  <w:footnote w:type="continuationNotice" w:id="1">
    <w:p w14:paraId="773DE4B4" w14:textId="77777777" w:rsidR="00F07E33" w:rsidRDefault="00F07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CE6E" w14:textId="77777777" w:rsidR="005F1F1B" w:rsidRDefault="005F1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01C2D"/>
    <w:multiLevelType w:val="hybridMultilevel"/>
    <w:tmpl w:val="7832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704F4"/>
    <w:multiLevelType w:val="hybridMultilevel"/>
    <w:tmpl w:val="88BAC254"/>
    <w:lvl w:ilvl="0" w:tplc="518246A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D65DD"/>
    <w:multiLevelType w:val="hybridMultilevel"/>
    <w:tmpl w:val="13DE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27A73"/>
    <w:multiLevelType w:val="hybridMultilevel"/>
    <w:tmpl w:val="1A4E6C20"/>
    <w:lvl w:ilvl="0" w:tplc="130AAABE">
      <w:start w:val="1"/>
      <w:numFmt w:val="decimal"/>
      <w:lvlText w:val="%1."/>
      <w:lvlJc w:val="left"/>
      <w:pPr>
        <w:ind w:left="720" w:hanging="360"/>
      </w:pPr>
      <w:rPr>
        <w:b w:val="0"/>
      </w:rPr>
    </w:lvl>
    <w:lvl w:ilvl="1" w:tplc="59FCB42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F6606FA">
      <w:start w:val="2"/>
      <w:numFmt w:val="lowerLetter"/>
      <w:lvlText w:val="%4)"/>
      <w:lvlJc w:val="left"/>
      <w:pPr>
        <w:ind w:left="2880" w:hanging="360"/>
      </w:pPr>
      <w:rPr>
        <w:rFonts w:hint="default"/>
      </w:rPr>
    </w:lvl>
    <w:lvl w:ilvl="4" w:tplc="6DA23702">
      <w:start w:val="1"/>
      <w:numFmt w:val="decimal"/>
      <w:lvlText w:val="%5)"/>
      <w:lvlJc w:val="left"/>
      <w:pPr>
        <w:ind w:left="3600" w:hanging="360"/>
      </w:pPr>
      <w:rPr>
        <w:rFonts w:hint="default"/>
      </w:rPr>
    </w:lvl>
    <w:lvl w:ilvl="5" w:tplc="A95A5946">
      <w:start w:val="2"/>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70792"/>
    <w:multiLevelType w:val="hybridMultilevel"/>
    <w:tmpl w:val="322C2D8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AE35299"/>
    <w:multiLevelType w:val="hybridMultilevel"/>
    <w:tmpl w:val="0086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D511C0"/>
    <w:multiLevelType w:val="hybridMultilevel"/>
    <w:tmpl w:val="51B8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5D1734"/>
    <w:multiLevelType w:val="hybridMultilevel"/>
    <w:tmpl w:val="AA6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F0935"/>
    <w:multiLevelType w:val="hybridMultilevel"/>
    <w:tmpl w:val="4D1EF0A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16031E0D"/>
    <w:multiLevelType w:val="hybridMultilevel"/>
    <w:tmpl w:val="15E6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C1855"/>
    <w:multiLevelType w:val="hybridMultilevel"/>
    <w:tmpl w:val="654E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73391"/>
    <w:multiLevelType w:val="hybridMultilevel"/>
    <w:tmpl w:val="E4A05D4A"/>
    <w:lvl w:ilvl="0" w:tplc="04090001">
      <w:start w:val="1"/>
      <w:numFmt w:val="bullet"/>
      <w:lvlText w:val=""/>
      <w:lvlJc w:val="left"/>
      <w:pPr>
        <w:ind w:left="1625" w:hanging="360"/>
      </w:pPr>
      <w:rPr>
        <w:rFonts w:ascii="Symbol" w:hAnsi="Symbol" w:hint="default"/>
      </w:rPr>
    </w:lvl>
    <w:lvl w:ilvl="1" w:tplc="04090003" w:tentative="1">
      <w:start w:val="1"/>
      <w:numFmt w:val="bullet"/>
      <w:lvlText w:val="o"/>
      <w:lvlJc w:val="left"/>
      <w:pPr>
        <w:ind w:left="2345" w:hanging="360"/>
      </w:pPr>
      <w:rPr>
        <w:rFonts w:ascii="Courier New" w:hAnsi="Courier New" w:cs="Courier New" w:hint="default"/>
      </w:rPr>
    </w:lvl>
    <w:lvl w:ilvl="2" w:tplc="04090005" w:tentative="1">
      <w:start w:val="1"/>
      <w:numFmt w:val="bullet"/>
      <w:lvlText w:val=""/>
      <w:lvlJc w:val="left"/>
      <w:pPr>
        <w:ind w:left="3065" w:hanging="360"/>
      </w:pPr>
      <w:rPr>
        <w:rFonts w:ascii="Wingdings" w:hAnsi="Wingdings" w:hint="default"/>
      </w:rPr>
    </w:lvl>
    <w:lvl w:ilvl="3" w:tplc="04090001" w:tentative="1">
      <w:start w:val="1"/>
      <w:numFmt w:val="bullet"/>
      <w:lvlText w:val=""/>
      <w:lvlJc w:val="left"/>
      <w:pPr>
        <w:ind w:left="3785" w:hanging="360"/>
      </w:pPr>
      <w:rPr>
        <w:rFonts w:ascii="Symbol" w:hAnsi="Symbol" w:hint="default"/>
      </w:rPr>
    </w:lvl>
    <w:lvl w:ilvl="4" w:tplc="04090003" w:tentative="1">
      <w:start w:val="1"/>
      <w:numFmt w:val="bullet"/>
      <w:lvlText w:val="o"/>
      <w:lvlJc w:val="left"/>
      <w:pPr>
        <w:ind w:left="4505" w:hanging="360"/>
      </w:pPr>
      <w:rPr>
        <w:rFonts w:ascii="Courier New" w:hAnsi="Courier New" w:cs="Courier New" w:hint="default"/>
      </w:rPr>
    </w:lvl>
    <w:lvl w:ilvl="5" w:tplc="04090005" w:tentative="1">
      <w:start w:val="1"/>
      <w:numFmt w:val="bullet"/>
      <w:lvlText w:val=""/>
      <w:lvlJc w:val="left"/>
      <w:pPr>
        <w:ind w:left="5225" w:hanging="360"/>
      </w:pPr>
      <w:rPr>
        <w:rFonts w:ascii="Wingdings" w:hAnsi="Wingdings" w:hint="default"/>
      </w:rPr>
    </w:lvl>
    <w:lvl w:ilvl="6" w:tplc="04090001" w:tentative="1">
      <w:start w:val="1"/>
      <w:numFmt w:val="bullet"/>
      <w:lvlText w:val=""/>
      <w:lvlJc w:val="left"/>
      <w:pPr>
        <w:ind w:left="5945" w:hanging="360"/>
      </w:pPr>
      <w:rPr>
        <w:rFonts w:ascii="Symbol" w:hAnsi="Symbol" w:hint="default"/>
      </w:rPr>
    </w:lvl>
    <w:lvl w:ilvl="7" w:tplc="04090003" w:tentative="1">
      <w:start w:val="1"/>
      <w:numFmt w:val="bullet"/>
      <w:lvlText w:val="o"/>
      <w:lvlJc w:val="left"/>
      <w:pPr>
        <w:ind w:left="6665" w:hanging="360"/>
      </w:pPr>
      <w:rPr>
        <w:rFonts w:ascii="Courier New" w:hAnsi="Courier New" w:cs="Courier New" w:hint="default"/>
      </w:rPr>
    </w:lvl>
    <w:lvl w:ilvl="8" w:tplc="04090005" w:tentative="1">
      <w:start w:val="1"/>
      <w:numFmt w:val="bullet"/>
      <w:lvlText w:val=""/>
      <w:lvlJc w:val="left"/>
      <w:pPr>
        <w:ind w:left="7385" w:hanging="360"/>
      </w:pPr>
      <w:rPr>
        <w:rFonts w:ascii="Wingdings" w:hAnsi="Wingdings" w:hint="default"/>
      </w:rPr>
    </w:lvl>
  </w:abstractNum>
  <w:abstractNum w:abstractNumId="13" w15:restartNumberingAfterBreak="0">
    <w:nsid w:val="24325BB4"/>
    <w:multiLevelType w:val="hybridMultilevel"/>
    <w:tmpl w:val="C3D8D3A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15:restartNumberingAfterBreak="0">
    <w:nsid w:val="260412D1"/>
    <w:multiLevelType w:val="hybridMultilevel"/>
    <w:tmpl w:val="15A4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B1A1F"/>
    <w:multiLevelType w:val="hybridMultilevel"/>
    <w:tmpl w:val="74009ED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6" w15:restartNumberingAfterBreak="0">
    <w:nsid w:val="29A6081B"/>
    <w:multiLevelType w:val="hybridMultilevel"/>
    <w:tmpl w:val="5E4ABB88"/>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7" w15:restartNumberingAfterBreak="0">
    <w:nsid w:val="2D100AEA"/>
    <w:multiLevelType w:val="hybridMultilevel"/>
    <w:tmpl w:val="BB985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7E6F11"/>
    <w:multiLevelType w:val="multilevel"/>
    <w:tmpl w:val="3C4A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17E73BE"/>
    <w:multiLevelType w:val="hybridMultilevel"/>
    <w:tmpl w:val="4596D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346E2C40"/>
    <w:multiLevelType w:val="hybridMultilevel"/>
    <w:tmpl w:val="9EAA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0558A"/>
    <w:multiLevelType w:val="hybridMultilevel"/>
    <w:tmpl w:val="CC90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43E48"/>
    <w:multiLevelType w:val="hybridMultilevel"/>
    <w:tmpl w:val="340049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7" w15:restartNumberingAfterBreak="0">
    <w:nsid w:val="44AB0F21"/>
    <w:multiLevelType w:val="hybridMultilevel"/>
    <w:tmpl w:val="3872D1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8" w15:restartNumberingAfterBreak="0">
    <w:nsid w:val="455B6B73"/>
    <w:multiLevelType w:val="hybridMultilevel"/>
    <w:tmpl w:val="E1E82FF2"/>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9" w15:restartNumberingAfterBreak="0">
    <w:nsid w:val="4D476CDE"/>
    <w:multiLevelType w:val="hybridMultilevel"/>
    <w:tmpl w:val="ABAEB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0" w15:restartNumberingAfterBreak="0">
    <w:nsid w:val="4F50793B"/>
    <w:multiLevelType w:val="hybridMultilevel"/>
    <w:tmpl w:val="268C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8E2E68"/>
    <w:multiLevelType w:val="hybridMultilevel"/>
    <w:tmpl w:val="1FC8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B2620"/>
    <w:multiLevelType w:val="hybridMultilevel"/>
    <w:tmpl w:val="82F8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15BA3"/>
    <w:multiLevelType w:val="hybridMultilevel"/>
    <w:tmpl w:val="9E662B8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4" w15:restartNumberingAfterBreak="0">
    <w:nsid w:val="56763349"/>
    <w:multiLevelType w:val="hybridMultilevel"/>
    <w:tmpl w:val="5854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82E70"/>
    <w:multiLevelType w:val="hybridMultilevel"/>
    <w:tmpl w:val="68469AD6"/>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36" w15:restartNumberingAfterBreak="0">
    <w:nsid w:val="6389466D"/>
    <w:multiLevelType w:val="hybridMultilevel"/>
    <w:tmpl w:val="F8825A58"/>
    <w:lvl w:ilvl="0" w:tplc="08090001">
      <w:start w:val="1"/>
      <w:numFmt w:val="bullet"/>
      <w:lvlText w:val=""/>
      <w:lvlJc w:val="left"/>
      <w:pPr>
        <w:ind w:left="968" w:hanging="360"/>
      </w:pPr>
      <w:rPr>
        <w:rFonts w:ascii="Symbol" w:hAnsi="Symbo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37" w15:restartNumberingAfterBreak="0">
    <w:nsid w:val="64FB3049"/>
    <w:multiLevelType w:val="hybridMultilevel"/>
    <w:tmpl w:val="4880B42C"/>
    <w:lvl w:ilvl="0" w:tplc="DAD833B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8" w15:restartNumberingAfterBreak="0">
    <w:nsid w:val="66DE317F"/>
    <w:multiLevelType w:val="hybridMultilevel"/>
    <w:tmpl w:val="13D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964FF"/>
    <w:multiLevelType w:val="hybridMultilevel"/>
    <w:tmpl w:val="B588A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7877857"/>
    <w:multiLevelType w:val="hybridMultilevel"/>
    <w:tmpl w:val="FCA2556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1" w15:restartNumberingAfterBreak="0">
    <w:nsid w:val="67ED3A9D"/>
    <w:multiLevelType w:val="hybridMultilevel"/>
    <w:tmpl w:val="C4DE1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3" w15:restartNumberingAfterBreak="0">
    <w:nsid w:val="69134FD8"/>
    <w:multiLevelType w:val="hybridMultilevel"/>
    <w:tmpl w:val="C914AFD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4"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45"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515780A"/>
    <w:multiLevelType w:val="multilevel"/>
    <w:tmpl w:val="B122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CF2BF5"/>
    <w:multiLevelType w:val="hybridMultilevel"/>
    <w:tmpl w:val="000876BA"/>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51" w15:restartNumberingAfterBreak="0">
    <w:nsid w:val="7EE30CED"/>
    <w:multiLevelType w:val="hybridMultilevel"/>
    <w:tmpl w:val="429E1386"/>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9"/>
  </w:num>
  <w:num w:numId="2">
    <w:abstractNumId w:val="46"/>
  </w:num>
  <w:num w:numId="3">
    <w:abstractNumId w:val="49"/>
  </w:num>
  <w:num w:numId="4">
    <w:abstractNumId w:val="0"/>
  </w:num>
  <w:num w:numId="5">
    <w:abstractNumId w:val="48"/>
  </w:num>
  <w:num w:numId="6">
    <w:abstractNumId w:val="45"/>
  </w:num>
  <w:num w:numId="7">
    <w:abstractNumId w:val="42"/>
  </w:num>
  <w:num w:numId="8">
    <w:abstractNumId w:val="21"/>
  </w:num>
  <w:num w:numId="9">
    <w:abstractNumId w:val="8"/>
  </w:num>
  <w:num w:numId="10">
    <w:abstractNumId w:val="24"/>
  </w:num>
  <w:num w:numId="11">
    <w:abstractNumId w:val="44"/>
  </w:num>
  <w:num w:numId="12">
    <w:abstractNumId w:val="26"/>
  </w:num>
  <w:num w:numId="13">
    <w:abstractNumId w:val="11"/>
  </w:num>
  <w:num w:numId="14">
    <w:abstractNumId w:val="39"/>
  </w:num>
  <w:num w:numId="15">
    <w:abstractNumId w:val="10"/>
  </w:num>
  <w:num w:numId="16">
    <w:abstractNumId w:val="2"/>
  </w:num>
  <w:num w:numId="17">
    <w:abstractNumId w:val="40"/>
  </w:num>
  <w:num w:numId="18">
    <w:abstractNumId w:val="33"/>
  </w:num>
  <w:num w:numId="19">
    <w:abstractNumId w:val="15"/>
  </w:num>
  <w:num w:numId="20">
    <w:abstractNumId w:val="13"/>
  </w:num>
  <w:num w:numId="21">
    <w:abstractNumId w:val="43"/>
  </w:num>
  <w:num w:numId="22">
    <w:abstractNumId w:val="29"/>
  </w:num>
  <w:num w:numId="23">
    <w:abstractNumId w:val="9"/>
  </w:num>
  <w:num w:numId="24">
    <w:abstractNumId w:val="51"/>
  </w:num>
  <w:num w:numId="25">
    <w:abstractNumId w:val="1"/>
  </w:num>
  <w:num w:numId="26">
    <w:abstractNumId w:val="22"/>
  </w:num>
  <w:num w:numId="27">
    <w:abstractNumId w:val="5"/>
  </w:num>
  <w:num w:numId="28">
    <w:abstractNumId w:val="28"/>
  </w:num>
  <w:num w:numId="29">
    <w:abstractNumId w:val="30"/>
  </w:num>
  <w:num w:numId="30">
    <w:abstractNumId w:val="25"/>
  </w:num>
  <w:num w:numId="31">
    <w:abstractNumId w:val="16"/>
  </w:num>
  <w:num w:numId="32">
    <w:abstractNumId w:val="50"/>
  </w:num>
  <w:num w:numId="33">
    <w:abstractNumId w:val="7"/>
  </w:num>
  <w:num w:numId="34">
    <w:abstractNumId w:val="36"/>
  </w:num>
  <w:num w:numId="35">
    <w:abstractNumId w:val="34"/>
  </w:num>
  <w:num w:numId="36">
    <w:abstractNumId w:val="4"/>
  </w:num>
  <w:num w:numId="37">
    <w:abstractNumId w:val="23"/>
  </w:num>
  <w:num w:numId="38">
    <w:abstractNumId w:val="41"/>
  </w:num>
  <w:num w:numId="39">
    <w:abstractNumId w:val="27"/>
  </w:num>
  <w:num w:numId="40">
    <w:abstractNumId w:val="31"/>
  </w:num>
  <w:num w:numId="41">
    <w:abstractNumId w:val="3"/>
  </w:num>
  <w:num w:numId="42">
    <w:abstractNumId w:val="6"/>
  </w:num>
  <w:num w:numId="43">
    <w:abstractNumId w:val="20"/>
  </w:num>
  <w:num w:numId="44">
    <w:abstractNumId w:val="35"/>
  </w:num>
  <w:num w:numId="45">
    <w:abstractNumId w:val="14"/>
  </w:num>
  <w:num w:numId="46">
    <w:abstractNumId w:val="17"/>
  </w:num>
  <w:num w:numId="47">
    <w:abstractNumId w:val="12"/>
  </w:num>
  <w:num w:numId="48">
    <w:abstractNumId w:val="18"/>
  </w:num>
  <w:num w:numId="49">
    <w:abstractNumId w:val="47"/>
  </w:num>
  <w:num w:numId="50">
    <w:abstractNumId w:val="38"/>
  </w:num>
  <w:num w:numId="51">
    <w:abstractNumId w:val="32"/>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12578"/>
    <w:rsid w:val="000142E0"/>
    <w:rsid w:val="00014500"/>
    <w:rsid w:val="000163A4"/>
    <w:rsid w:val="000170D0"/>
    <w:rsid w:val="000174FC"/>
    <w:rsid w:val="000219D2"/>
    <w:rsid w:val="00021C7F"/>
    <w:rsid w:val="000221C5"/>
    <w:rsid w:val="000245F7"/>
    <w:rsid w:val="000257FD"/>
    <w:rsid w:val="00026668"/>
    <w:rsid w:val="00031658"/>
    <w:rsid w:val="00032997"/>
    <w:rsid w:val="00033AE0"/>
    <w:rsid w:val="00034CF9"/>
    <w:rsid w:val="000373CC"/>
    <w:rsid w:val="00040F92"/>
    <w:rsid w:val="00040FDD"/>
    <w:rsid w:val="00041A0A"/>
    <w:rsid w:val="000421D8"/>
    <w:rsid w:val="000423B5"/>
    <w:rsid w:val="0004336B"/>
    <w:rsid w:val="000444A9"/>
    <w:rsid w:val="0004580B"/>
    <w:rsid w:val="00047D0E"/>
    <w:rsid w:val="000514D8"/>
    <w:rsid w:val="00051EAC"/>
    <w:rsid w:val="000525AB"/>
    <w:rsid w:val="000526C1"/>
    <w:rsid w:val="0005433C"/>
    <w:rsid w:val="00055F4F"/>
    <w:rsid w:val="00057428"/>
    <w:rsid w:val="00060B4D"/>
    <w:rsid w:val="000612E4"/>
    <w:rsid w:val="000633A1"/>
    <w:rsid w:val="00063853"/>
    <w:rsid w:val="00073275"/>
    <w:rsid w:val="00073A8B"/>
    <w:rsid w:val="000758C0"/>
    <w:rsid w:val="00076B86"/>
    <w:rsid w:val="00077BF1"/>
    <w:rsid w:val="00081BD1"/>
    <w:rsid w:val="0008232D"/>
    <w:rsid w:val="00082537"/>
    <w:rsid w:val="00082F48"/>
    <w:rsid w:val="00083037"/>
    <w:rsid w:val="00090B4D"/>
    <w:rsid w:val="000927C5"/>
    <w:rsid w:val="00092FED"/>
    <w:rsid w:val="00095EF2"/>
    <w:rsid w:val="00097111"/>
    <w:rsid w:val="00097739"/>
    <w:rsid w:val="000A0D70"/>
    <w:rsid w:val="000A1360"/>
    <w:rsid w:val="000A1B5A"/>
    <w:rsid w:val="000A1EFD"/>
    <w:rsid w:val="000A40B3"/>
    <w:rsid w:val="000A5DAB"/>
    <w:rsid w:val="000A5F3B"/>
    <w:rsid w:val="000B2063"/>
    <w:rsid w:val="000B2C1D"/>
    <w:rsid w:val="000B4A9D"/>
    <w:rsid w:val="000B57DE"/>
    <w:rsid w:val="000B7018"/>
    <w:rsid w:val="000B740D"/>
    <w:rsid w:val="000B7935"/>
    <w:rsid w:val="000C08B9"/>
    <w:rsid w:val="000C6E8E"/>
    <w:rsid w:val="000C76D4"/>
    <w:rsid w:val="000D043C"/>
    <w:rsid w:val="000D2807"/>
    <w:rsid w:val="000D41F9"/>
    <w:rsid w:val="000D44D0"/>
    <w:rsid w:val="000D494C"/>
    <w:rsid w:val="000D5FA3"/>
    <w:rsid w:val="000D7559"/>
    <w:rsid w:val="000E30E9"/>
    <w:rsid w:val="000E35EF"/>
    <w:rsid w:val="000E3772"/>
    <w:rsid w:val="000E3B2C"/>
    <w:rsid w:val="000E3CAC"/>
    <w:rsid w:val="000E67E2"/>
    <w:rsid w:val="000E7CC8"/>
    <w:rsid w:val="000F4C25"/>
    <w:rsid w:val="000F6BD4"/>
    <w:rsid w:val="000F6DA9"/>
    <w:rsid w:val="001016E3"/>
    <w:rsid w:val="00101F8A"/>
    <w:rsid w:val="00102715"/>
    <w:rsid w:val="001032A1"/>
    <w:rsid w:val="001032F0"/>
    <w:rsid w:val="00103AA5"/>
    <w:rsid w:val="00105620"/>
    <w:rsid w:val="00110D00"/>
    <w:rsid w:val="00111D7E"/>
    <w:rsid w:val="00112932"/>
    <w:rsid w:val="00115317"/>
    <w:rsid w:val="00120444"/>
    <w:rsid w:val="00120638"/>
    <w:rsid w:val="00122BB2"/>
    <w:rsid w:val="00122D3D"/>
    <w:rsid w:val="00122E8C"/>
    <w:rsid w:val="001258F8"/>
    <w:rsid w:val="00126FC2"/>
    <w:rsid w:val="0012732C"/>
    <w:rsid w:val="00133FEE"/>
    <w:rsid w:val="00135F94"/>
    <w:rsid w:val="00136332"/>
    <w:rsid w:val="0013669F"/>
    <w:rsid w:val="001375AD"/>
    <w:rsid w:val="001378FD"/>
    <w:rsid w:val="0014072F"/>
    <w:rsid w:val="00143582"/>
    <w:rsid w:val="001437D5"/>
    <w:rsid w:val="00143A09"/>
    <w:rsid w:val="0014419D"/>
    <w:rsid w:val="00145A6F"/>
    <w:rsid w:val="001473B5"/>
    <w:rsid w:val="00150C77"/>
    <w:rsid w:val="00151484"/>
    <w:rsid w:val="001567DB"/>
    <w:rsid w:val="001569D2"/>
    <w:rsid w:val="00157968"/>
    <w:rsid w:val="00157C98"/>
    <w:rsid w:val="0016019A"/>
    <w:rsid w:val="00161C6D"/>
    <w:rsid w:val="00161C8E"/>
    <w:rsid w:val="00162103"/>
    <w:rsid w:val="00166013"/>
    <w:rsid w:val="0016784D"/>
    <w:rsid w:val="00167B12"/>
    <w:rsid w:val="00170A9D"/>
    <w:rsid w:val="0017248F"/>
    <w:rsid w:val="001725F5"/>
    <w:rsid w:val="0017554D"/>
    <w:rsid w:val="00175570"/>
    <w:rsid w:val="00176299"/>
    <w:rsid w:val="0017716B"/>
    <w:rsid w:val="00181FFF"/>
    <w:rsid w:val="00182CC1"/>
    <w:rsid w:val="00185EDD"/>
    <w:rsid w:val="00186834"/>
    <w:rsid w:val="00187651"/>
    <w:rsid w:val="00192128"/>
    <w:rsid w:val="00195E34"/>
    <w:rsid w:val="00197FCB"/>
    <w:rsid w:val="001A0001"/>
    <w:rsid w:val="001A1EE1"/>
    <w:rsid w:val="001A50AE"/>
    <w:rsid w:val="001A6743"/>
    <w:rsid w:val="001A70A5"/>
    <w:rsid w:val="001A7286"/>
    <w:rsid w:val="001A7374"/>
    <w:rsid w:val="001B1766"/>
    <w:rsid w:val="001B36C0"/>
    <w:rsid w:val="001B3701"/>
    <w:rsid w:val="001B4FD8"/>
    <w:rsid w:val="001B52E8"/>
    <w:rsid w:val="001C4FA6"/>
    <w:rsid w:val="001C5064"/>
    <w:rsid w:val="001C6D52"/>
    <w:rsid w:val="001C72F3"/>
    <w:rsid w:val="001C7C7E"/>
    <w:rsid w:val="001D0E37"/>
    <w:rsid w:val="001D70C7"/>
    <w:rsid w:val="001E3281"/>
    <w:rsid w:val="001E3FAB"/>
    <w:rsid w:val="001E40F0"/>
    <w:rsid w:val="001E5672"/>
    <w:rsid w:val="001E6C3B"/>
    <w:rsid w:val="001F04C4"/>
    <w:rsid w:val="001F4B4D"/>
    <w:rsid w:val="001F4EE8"/>
    <w:rsid w:val="002003D2"/>
    <w:rsid w:val="00201A65"/>
    <w:rsid w:val="0020242B"/>
    <w:rsid w:val="002050C1"/>
    <w:rsid w:val="0020696A"/>
    <w:rsid w:val="002074C8"/>
    <w:rsid w:val="0020787D"/>
    <w:rsid w:val="00210B51"/>
    <w:rsid w:val="002125C5"/>
    <w:rsid w:val="002139BC"/>
    <w:rsid w:val="00214AEE"/>
    <w:rsid w:val="00215C7B"/>
    <w:rsid w:val="00222E76"/>
    <w:rsid w:val="00224735"/>
    <w:rsid w:val="002260E5"/>
    <w:rsid w:val="00226ED2"/>
    <w:rsid w:val="002325D7"/>
    <w:rsid w:val="00233876"/>
    <w:rsid w:val="00240407"/>
    <w:rsid w:val="002406A0"/>
    <w:rsid w:val="00245036"/>
    <w:rsid w:val="00245147"/>
    <w:rsid w:val="00245629"/>
    <w:rsid w:val="00254FC3"/>
    <w:rsid w:val="002554BF"/>
    <w:rsid w:val="002564D0"/>
    <w:rsid w:val="00257586"/>
    <w:rsid w:val="002602FC"/>
    <w:rsid w:val="00260E0F"/>
    <w:rsid w:val="0026570B"/>
    <w:rsid w:val="00265997"/>
    <w:rsid w:val="00265DD0"/>
    <w:rsid w:val="00266319"/>
    <w:rsid w:val="002703FC"/>
    <w:rsid w:val="00272466"/>
    <w:rsid w:val="00274316"/>
    <w:rsid w:val="002750CA"/>
    <w:rsid w:val="00276032"/>
    <w:rsid w:val="00277242"/>
    <w:rsid w:val="00283717"/>
    <w:rsid w:val="002837AC"/>
    <w:rsid w:val="002841A7"/>
    <w:rsid w:val="00286B1D"/>
    <w:rsid w:val="00291FCF"/>
    <w:rsid w:val="00294933"/>
    <w:rsid w:val="00294BBC"/>
    <w:rsid w:val="00294FAE"/>
    <w:rsid w:val="00295059"/>
    <w:rsid w:val="00296726"/>
    <w:rsid w:val="00297BF2"/>
    <w:rsid w:val="002A08B5"/>
    <w:rsid w:val="002A4524"/>
    <w:rsid w:val="002A5A91"/>
    <w:rsid w:val="002A5CEE"/>
    <w:rsid w:val="002A69EE"/>
    <w:rsid w:val="002B45F5"/>
    <w:rsid w:val="002B7A98"/>
    <w:rsid w:val="002C0115"/>
    <w:rsid w:val="002C0C1A"/>
    <w:rsid w:val="002C108E"/>
    <w:rsid w:val="002C212C"/>
    <w:rsid w:val="002C275C"/>
    <w:rsid w:val="002C322B"/>
    <w:rsid w:val="002C41E8"/>
    <w:rsid w:val="002C46AB"/>
    <w:rsid w:val="002C6ED8"/>
    <w:rsid w:val="002C769A"/>
    <w:rsid w:val="002C7B1B"/>
    <w:rsid w:val="002D1353"/>
    <w:rsid w:val="002D149B"/>
    <w:rsid w:val="002D241D"/>
    <w:rsid w:val="002D3174"/>
    <w:rsid w:val="002D319C"/>
    <w:rsid w:val="002D5B22"/>
    <w:rsid w:val="002D72CF"/>
    <w:rsid w:val="002D7B0D"/>
    <w:rsid w:val="002E2C32"/>
    <w:rsid w:val="002E3695"/>
    <w:rsid w:val="002E43C6"/>
    <w:rsid w:val="002E45E8"/>
    <w:rsid w:val="002E6837"/>
    <w:rsid w:val="002F105C"/>
    <w:rsid w:val="002F26BE"/>
    <w:rsid w:val="002F34E9"/>
    <w:rsid w:val="002F7776"/>
    <w:rsid w:val="003004C8"/>
    <w:rsid w:val="003050F6"/>
    <w:rsid w:val="00312067"/>
    <w:rsid w:val="0031431C"/>
    <w:rsid w:val="0031641C"/>
    <w:rsid w:val="003205F9"/>
    <w:rsid w:val="0032196F"/>
    <w:rsid w:val="0032511C"/>
    <w:rsid w:val="00325288"/>
    <w:rsid w:val="00334CB6"/>
    <w:rsid w:val="00336561"/>
    <w:rsid w:val="003376FB"/>
    <w:rsid w:val="00337BEC"/>
    <w:rsid w:val="003434DF"/>
    <w:rsid w:val="00343B5C"/>
    <w:rsid w:val="00345A4E"/>
    <w:rsid w:val="00347C31"/>
    <w:rsid w:val="0035036A"/>
    <w:rsid w:val="0035063F"/>
    <w:rsid w:val="00351B48"/>
    <w:rsid w:val="003524CC"/>
    <w:rsid w:val="003560DF"/>
    <w:rsid w:val="00356CCD"/>
    <w:rsid w:val="00360339"/>
    <w:rsid w:val="00360AC3"/>
    <w:rsid w:val="00360D8F"/>
    <w:rsid w:val="00367D08"/>
    <w:rsid w:val="00370AE8"/>
    <w:rsid w:val="00372606"/>
    <w:rsid w:val="003749D8"/>
    <w:rsid w:val="00375BF2"/>
    <w:rsid w:val="003778A9"/>
    <w:rsid w:val="00382AF1"/>
    <w:rsid w:val="0038352F"/>
    <w:rsid w:val="00383936"/>
    <w:rsid w:val="00386366"/>
    <w:rsid w:val="0038696B"/>
    <w:rsid w:val="0038722F"/>
    <w:rsid w:val="0039286C"/>
    <w:rsid w:val="00393D9B"/>
    <w:rsid w:val="00397343"/>
    <w:rsid w:val="003A0065"/>
    <w:rsid w:val="003A236C"/>
    <w:rsid w:val="003A5A11"/>
    <w:rsid w:val="003A5BC6"/>
    <w:rsid w:val="003B3602"/>
    <w:rsid w:val="003B5934"/>
    <w:rsid w:val="003B6026"/>
    <w:rsid w:val="003C136E"/>
    <w:rsid w:val="003C1BF2"/>
    <w:rsid w:val="003C3A81"/>
    <w:rsid w:val="003C5218"/>
    <w:rsid w:val="003C5559"/>
    <w:rsid w:val="003C7DAB"/>
    <w:rsid w:val="003D117C"/>
    <w:rsid w:val="003D3DFA"/>
    <w:rsid w:val="003D4D0F"/>
    <w:rsid w:val="003D5BCD"/>
    <w:rsid w:val="003D6EAF"/>
    <w:rsid w:val="003E03D3"/>
    <w:rsid w:val="003E0CDA"/>
    <w:rsid w:val="003E1E0E"/>
    <w:rsid w:val="003E20F5"/>
    <w:rsid w:val="003E2923"/>
    <w:rsid w:val="003E2A3F"/>
    <w:rsid w:val="003E2A7E"/>
    <w:rsid w:val="003E4797"/>
    <w:rsid w:val="003E50E3"/>
    <w:rsid w:val="003E5C50"/>
    <w:rsid w:val="003E6235"/>
    <w:rsid w:val="003E6742"/>
    <w:rsid w:val="003E7ED5"/>
    <w:rsid w:val="003F03AF"/>
    <w:rsid w:val="003F5592"/>
    <w:rsid w:val="003F60C0"/>
    <w:rsid w:val="003F70A0"/>
    <w:rsid w:val="003F7B9F"/>
    <w:rsid w:val="004022EF"/>
    <w:rsid w:val="004055C3"/>
    <w:rsid w:val="00405B6E"/>
    <w:rsid w:val="004128AB"/>
    <w:rsid w:val="004177C9"/>
    <w:rsid w:val="0041795B"/>
    <w:rsid w:val="0042133F"/>
    <w:rsid w:val="0042211F"/>
    <w:rsid w:val="004255B1"/>
    <w:rsid w:val="00433D3A"/>
    <w:rsid w:val="00434CC1"/>
    <w:rsid w:val="004353AF"/>
    <w:rsid w:val="0043769F"/>
    <w:rsid w:val="00437B1B"/>
    <w:rsid w:val="00440F44"/>
    <w:rsid w:val="0044370A"/>
    <w:rsid w:val="00444410"/>
    <w:rsid w:val="00445290"/>
    <w:rsid w:val="00446080"/>
    <w:rsid w:val="00446085"/>
    <w:rsid w:val="004478C6"/>
    <w:rsid w:val="004519C6"/>
    <w:rsid w:val="00452F72"/>
    <w:rsid w:val="00457DD7"/>
    <w:rsid w:val="00461145"/>
    <w:rsid w:val="00462D72"/>
    <w:rsid w:val="004646CE"/>
    <w:rsid w:val="00464F80"/>
    <w:rsid w:val="00467352"/>
    <w:rsid w:val="004673B9"/>
    <w:rsid w:val="00471472"/>
    <w:rsid w:val="004719D9"/>
    <w:rsid w:val="0047240E"/>
    <w:rsid w:val="00474821"/>
    <w:rsid w:val="004770FF"/>
    <w:rsid w:val="00477FE6"/>
    <w:rsid w:val="00480557"/>
    <w:rsid w:val="00481C00"/>
    <w:rsid w:val="0048524C"/>
    <w:rsid w:val="00485C1C"/>
    <w:rsid w:val="004939B1"/>
    <w:rsid w:val="00495BA4"/>
    <w:rsid w:val="004967C1"/>
    <w:rsid w:val="004A0DE0"/>
    <w:rsid w:val="004A161F"/>
    <w:rsid w:val="004A1746"/>
    <w:rsid w:val="004A30DF"/>
    <w:rsid w:val="004A5502"/>
    <w:rsid w:val="004A6A8D"/>
    <w:rsid w:val="004A7DC4"/>
    <w:rsid w:val="004B038B"/>
    <w:rsid w:val="004B2485"/>
    <w:rsid w:val="004B2EF4"/>
    <w:rsid w:val="004B554B"/>
    <w:rsid w:val="004B5757"/>
    <w:rsid w:val="004B60B9"/>
    <w:rsid w:val="004B7953"/>
    <w:rsid w:val="004C0A8B"/>
    <w:rsid w:val="004C5E2B"/>
    <w:rsid w:val="004C75F2"/>
    <w:rsid w:val="004D0162"/>
    <w:rsid w:val="004D179C"/>
    <w:rsid w:val="004D3A64"/>
    <w:rsid w:val="004D634C"/>
    <w:rsid w:val="004D7320"/>
    <w:rsid w:val="004E0996"/>
    <w:rsid w:val="004E0A35"/>
    <w:rsid w:val="004E241B"/>
    <w:rsid w:val="004E4BF6"/>
    <w:rsid w:val="004E4D1C"/>
    <w:rsid w:val="004E5ECA"/>
    <w:rsid w:val="004E73A6"/>
    <w:rsid w:val="004F0AD9"/>
    <w:rsid w:val="004F28DC"/>
    <w:rsid w:val="004F3658"/>
    <w:rsid w:val="004F4174"/>
    <w:rsid w:val="004F4F0C"/>
    <w:rsid w:val="004F5B7F"/>
    <w:rsid w:val="00500159"/>
    <w:rsid w:val="00510CC1"/>
    <w:rsid w:val="00511CAE"/>
    <w:rsid w:val="0051242F"/>
    <w:rsid w:val="005137FB"/>
    <w:rsid w:val="00514191"/>
    <w:rsid w:val="00514286"/>
    <w:rsid w:val="00514477"/>
    <w:rsid w:val="00514F82"/>
    <w:rsid w:val="00517B14"/>
    <w:rsid w:val="0052047D"/>
    <w:rsid w:val="00520AEE"/>
    <w:rsid w:val="0052140B"/>
    <w:rsid w:val="005222CA"/>
    <w:rsid w:val="0052510C"/>
    <w:rsid w:val="0053091D"/>
    <w:rsid w:val="00537795"/>
    <w:rsid w:val="00537E9F"/>
    <w:rsid w:val="005411B1"/>
    <w:rsid w:val="0054355F"/>
    <w:rsid w:val="00547B33"/>
    <w:rsid w:val="00552842"/>
    <w:rsid w:val="00555266"/>
    <w:rsid w:val="00555B94"/>
    <w:rsid w:val="005569DA"/>
    <w:rsid w:val="00561F88"/>
    <w:rsid w:val="005628D5"/>
    <w:rsid w:val="005649FF"/>
    <w:rsid w:val="0056789A"/>
    <w:rsid w:val="00571C71"/>
    <w:rsid w:val="00581917"/>
    <w:rsid w:val="00584E70"/>
    <w:rsid w:val="0058654F"/>
    <w:rsid w:val="00587CA0"/>
    <w:rsid w:val="00590464"/>
    <w:rsid w:val="00590805"/>
    <w:rsid w:val="005950B6"/>
    <w:rsid w:val="00596A26"/>
    <w:rsid w:val="00597D6C"/>
    <w:rsid w:val="00597DC1"/>
    <w:rsid w:val="005A21CB"/>
    <w:rsid w:val="005A47A6"/>
    <w:rsid w:val="005A52DD"/>
    <w:rsid w:val="005A5BB1"/>
    <w:rsid w:val="005A685F"/>
    <w:rsid w:val="005A77B0"/>
    <w:rsid w:val="005B36E6"/>
    <w:rsid w:val="005B628D"/>
    <w:rsid w:val="005B7B08"/>
    <w:rsid w:val="005C07BB"/>
    <w:rsid w:val="005C28B2"/>
    <w:rsid w:val="005C395F"/>
    <w:rsid w:val="005C6C0C"/>
    <w:rsid w:val="005D0721"/>
    <w:rsid w:val="005D28CA"/>
    <w:rsid w:val="005D30A4"/>
    <w:rsid w:val="005D365C"/>
    <w:rsid w:val="005D41B4"/>
    <w:rsid w:val="005D4E0D"/>
    <w:rsid w:val="005D7818"/>
    <w:rsid w:val="005E06EE"/>
    <w:rsid w:val="005E0930"/>
    <w:rsid w:val="005E2AC1"/>
    <w:rsid w:val="005E3F01"/>
    <w:rsid w:val="005E47EE"/>
    <w:rsid w:val="005E49CA"/>
    <w:rsid w:val="005E6860"/>
    <w:rsid w:val="005E766A"/>
    <w:rsid w:val="005F1D70"/>
    <w:rsid w:val="005F1D9F"/>
    <w:rsid w:val="005F1F1B"/>
    <w:rsid w:val="005F2B8B"/>
    <w:rsid w:val="005F4E17"/>
    <w:rsid w:val="005F4E84"/>
    <w:rsid w:val="005F526E"/>
    <w:rsid w:val="005F626A"/>
    <w:rsid w:val="00600B96"/>
    <w:rsid w:val="00604472"/>
    <w:rsid w:val="0060478F"/>
    <w:rsid w:val="0060583F"/>
    <w:rsid w:val="00610853"/>
    <w:rsid w:val="00611568"/>
    <w:rsid w:val="00612F92"/>
    <w:rsid w:val="00614A86"/>
    <w:rsid w:val="006150B5"/>
    <w:rsid w:val="00621256"/>
    <w:rsid w:val="006237B7"/>
    <w:rsid w:val="00624262"/>
    <w:rsid w:val="00625450"/>
    <w:rsid w:val="006269FE"/>
    <w:rsid w:val="00627BD1"/>
    <w:rsid w:val="006303CC"/>
    <w:rsid w:val="006313DF"/>
    <w:rsid w:val="0063329F"/>
    <w:rsid w:val="00635560"/>
    <w:rsid w:val="0064075F"/>
    <w:rsid w:val="00640F44"/>
    <w:rsid w:val="00642FD5"/>
    <w:rsid w:val="0064453B"/>
    <w:rsid w:val="00644639"/>
    <w:rsid w:val="00644FB1"/>
    <w:rsid w:val="00645231"/>
    <w:rsid w:val="006533DD"/>
    <w:rsid w:val="006562BD"/>
    <w:rsid w:val="006566F2"/>
    <w:rsid w:val="00664E7C"/>
    <w:rsid w:val="00667AC3"/>
    <w:rsid w:val="006707ED"/>
    <w:rsid w:val="00670926"/>
    <w:rsid w:val="006752FF"/>
    <w:rsid w:val="00675D59"/>
    <w:rsid w:val="00682CC8"/>
    <w:rsid w:val="0068334F"/>
    <w:rsid w:val="00683E40"/>
    <w:rsid w:val="0068441E"/>
    <w:rsid w:val="0068494C"/>
    <w:rsid w:val="006863DB"/>
    <w:rsid w:val="00686EA5"/>
    <w:rsid w:val="006870AC"/>
    <w:rsid w:val="0069276A"/>
    <w:rsid w:val="00693885"/>
    <w:rsid w:val="00694A78"/>
    <w:rsid w:val="00695C6F"/>
    <w:rsid w:val="006967AE"/>
    <w:rsid w:val="00696E24"/>
    <w:rsid w:val="006A0710"/>
    <w:rsid w:val="006A2CEF"/>
    <w:rsid w:val="006A406F"/>
    <w:rsid w:val="006A6708"/>
    <w:rsid w:val="006A69D9"/>
    <w:rsid w:val="006A706A"/>
    <w:rsid w:val="006B0D12"/>
    <w:rsid w:val="006B1FC3"/>
    <w:rsid w:val="006B4529"/>
    <w:rsid w:val="006B62DB"/>
    <w:rsid w:val="006B7101"/>
    <w:rsid w:val="006C0A52"/>
    <w:rsid w:val="006C15DE"/>
    <w:rsid w:val="006C30F2"/>
    <w:rsid w:val="006C3745"/>
    <w:rsid w:val="006D4D85"/>
    <w:rsid w:val="006D5618"/>
    <w:rsid w:val="006D5ED6"/>
    <w:rsid w:val="006D60A9"/>
    <w:rsid w:val="006D77CB"/>
    <w:rsid w:val="006E1343"/>
    <w:rsid w:val="006E39B7"/>
    <w:rsid w:val="006E630C"/>
    <w:rsid w:val="006E63D5"/>
    <w:rsid w:val="006E6C46"/>
    <w:rsid w:val="006F02BC"/>
    <w:rsid w:val="006F09E0"/>
    <w:rsid w:val="006F1F11"/>
    <w:rsid w:val="006F2F97"/>
    <w:rsid w:val="006F35B5"/>
    <w:rsid w:val="006F3C27"/>
    <w:rsid w:val="00701D90"/>
    <w:rsid w:val="00701F15"/>
    <w:rsid w:val="00703D41"/>
    <w:rsid w:val="00704DCA"/>
    <w:rsid w:val="00704FEA"/>
    <w:rsid w:val="00706974"/>
    <w:rsid w:val="00706B43"/>
    <w:rsid w:val="00712E09"/>
    <w:rsid w:val="007130A2"/>
    <w:rsid w:val="007131CD"/>
    <w:rsid w:val="0071373D"/>
    <w:rsid w:val="0071639F"/>
    <w:rsid w:val="00716B27"/>
    <w:rsid w:val="007174C8"/>
    <w:rsid w:val="007217AF"/>
    <w:rsid w:val="00721CEF"/>
    <w:rsid w:val="007222C0"/>
    <w:rsid w:val="0072360A"/>
    <w:rsid w:val="00723DFE"/>
    <w:rsid w:val="00735F56"/>
    <w:rsid w:val="00737BBC"/>
    <w:rsid w:val="00743148"/>
    <w:rsid w:val="00744418"/>
    <w:rsid w:val="007454D1"/>
    <w:rsid w:val="007457F9"/>
    <w:rsid w:val="0074603F"/>
    <w:rsid w:val="0074738E"/>
    <w:rsid w:val="0075086B"/>
    <w:rsid w:val="00750FA8"/>
    <w:rsid w:val="00751230"/>
    <w:rsid w:val="00751BA4"/>
    <w:rsid w:val="00751E71"/>
    <w:rsid w:val="00755028"/>
    <w:rsid w:val="007609B7"/>
    <w:rsid w:val="00763E9B"/>
    <w:rsid w:val="0076457D"/>
    <w:rsid w:val="00764B8F"/>
    <w:rsid w:val="00766FA5"/>
    <w:rsid w:val="007673DB"/>
    <w:rsid w:val="00770807"/>
    <w:rsid w:val="007714C5"/>
    <w:rsid w:val="007729F1"/>
    <w:rsid w:val="00773DC2"/>
    <w:rsid w:val="0077505E"/>
    <w:rsid w:val="00776ED9"/>
    <w:rsid w:val="007779E1"/>
    <w:rsid w:val="0078053E"/>
    <w:rsid w:val="00781175"/>
    <w:rsid w:val="007825F9"/>
    <w:rsid w:val="00783DF2"/>
    <w:rsid w:val="00784EB3"/>
    <w:rsid w:val="0079083B"/>
    <w:rsid w:val="007908C9"/>
    <w:rsid w:val="007941F8"/>
    <w:rsid w:val="00795184"/>
    <w:rsid w:val="00796DD5"/>
    <w:rsid w:val="007972AE"/>
    <w:rsid w:val="007A0B11"/>
    <w:rsid w:val="007A1AEC"/>
    <w:rsid w:val="007A1F31"/>
    <w:rsid w:val="007A3554"/>
    <w:rsid w:val="007A75DC"/>
    <w:rsid w:val="007B2C1D"/>
    <w:rsid w:val="007B404A"/>
    <w:rsid w:val="007B6D6B"/>
    <w:rsid w:val="007C0B94"/>
    <w:rsid w:val="007C0FF9"/>
    <w:rsid w:val="007C153B"/>
    <w:rsid w:val="007C20D4"/>
    <w:rsid w:val="007C35AE"/>
    <w:rsid w:val="007C3E7E"/>
    <w:rsid w:val="007C41D4"/>
    <w:rsid w:val="007C6510"/>
    <w:rsid w:val="007C74B5"/>
    <w:rsid w:val="007D0936"/>
    <w:rsid w:val="007D278D"/>
    <w:rsid w:val="007D41A2"/>
    <w:rsid w:val="007D4525"/>
    <w:rsid w:val="007D6BD0"/>
    <w:rsid w:val="007D6C71"/>
    <w:rsid w:val="007D7912"/>
    <w:rsid w:val="007E07FF"/>
    <w:rsid w:val="007E08F2"/>
    <w:rsid w:val="007E23CA"/>
    <w:rsid w:val="007E2B2A"/>
    <w:rsid w:val="007E4AE7"/>
    <w:rsid w:val="007E4C30"/>
    <w:rsid w:val="007E5DF4"/>
    <w:rsid w:val="007E71B3"/>
    <w:rsid w:val="007E7BD2"/>
    <w:rsid w:val="007F1C22"/>
    <w:rsid w:val="007F31CA"/>
    <w:rsid w:val="007F33CC"/>
    <w:rsid w:val="00801042"/>
    <w:rsid w:val="00801425"/>
    <w:rsid w:val="00801719"/>
    <w:rsid w:val="00804C19"/>
    <w:rsid w:val="008052C2"/>
    <w:rsid w:val="00806388"/>
    <w:rsid w:val="0080732B"/>
    <w:rsid w:val="008074D0"/>
    <w:rsid w:val="00807910"/>
    <w:rsid w:val="00810EBF"/>
    <w:rsid w:val="00813701"/>
    <w:rsid w:val="008137AE"/>
    <w:rsid w:val="0081425D"/>
    <w:rsid w:val="00815CAA"/>
    <w:rsid w:val="00815F5B"/>
    <w:rsid w:val="00820640"/>
    <w:rsid w:val="00821D70"/>
    <w:rsid w:val="00822210"/>
    <w:rsid w:val="008235A5"/>
    <w:rsid w:val="0082364E"/>
    <w:rsid w:val="00827635"/>
    <w:rsid w:val="00830A3C"/>
    <w:rsid w:val="0083298F"/>
    <w:rsid w:val="008349AE"/>
    <w:rsid w:val="008375A3"/>
    <w:rsid w:val="00840A5E"/>
    <w:rsid w:val="00840E57"/>
    <w:rsid w:val="0084150C"/>
    <w:rsid w:val="00842AC6"/>
    <w:rsid w:val="00843301"/>
    <w:rsid w:val="00844450"/>
    <w:rsid w:val="00844AE8"/>
    <w:rsid w:val="0084785D"/>
    <w:rsid w:val="008601F7"/>
    <w:rsid w:val="00861E8B"/>
    <w:rsid w:val="00864387"/>
    <w:rsid w:val="0087066E"/>
    <w:rsid w:val="0087161D"/>
    <w:rsid w:val="00874ABE"/>
    <w:rsid w:val="00875FBE"/>
    <w:rsid w:val="00876616"/>
    <w:rsid w:val="00876B3D"/>
    <w:rsid w:val="00877E59"/>
    <w:rsid w:val="00880935"/>
    <w:rsid w:val="00881F5A"/>
    <w:rsid w:val="008875C7"/>
    <w:rsid w:val="00892EA5"/>
    <w:rsid w:val="00893146"/>
    <w:rsid w:val="00894FF1"/>
    <w:rsid w:val="008952A6"/>
    <w:rsid w:val="008972BB"/>
    <w:rsid w:val="008A0C46"/>
    <w:rsid w:val="008A3CCF"/>
    <w:rsid w:val="008A3FE9"/>
    <w:rsid w:val="008A57B1"/>
    <w:rsid w:val="008A6AD7"/>
    <w:rsid w:val="008A7CB6"/>
    <w:rsid w:val="008B04A8"/>
    <w:rsid w:val="008B3EE1"/>
    <w:rsid w:val="008B4E28"/>
    <w:rsid w:val="008B7824"/>
    <w:rsid w:val="008C04A4"/>
    <w:rsid w:val="008C0C50"/>
    <w:rsid w:val="008C31D8"/>
    <w:rsid w:val="008C63DD"/>
    <w:rsid w:val="008D0510"/>
    <w:rsid w:val="008D1C2B"/>
    <w:rsid w:val="008D273A"/>
    <w:rsid w:val="008D3ECF"/>
    <w:rsid w:val="008D44E3"/>
    <w:rsid w:val="008D4667"/>
    <w:rsid w:val="008D47AE"/>
    <w:rsid w:val="008D5A82"/>
    <w:rsid w:val="008D68F0"/>
    <w:rsid w:val="008D6EAF"/>
    <w:rsid w:val="008D7127"/>
    <w:rsid w:val="008D735F"/>
    <w:rsid w:val="008E3C32"/>
    <w:rsid w:val="008E5C90"/>
    <w:rsid w:val="008E5EB5"/>
    <w:rsid w:val="008E69CB"/>
    <w:rsid w:val="008E6DE3"/>
    <w:rsid w:val="008E785E"/>
    <w:rsid w:val="008F03A4"/>
    <w:rsid w:val="008F0725"/>
    <w:rsid w:val="008F0A94"/>
    <w:rsid w:val="008F37A2"/>
    <w:rsid w:val="008F4F41"/>
    <w:rsid w:val="00902BEA"/>
    <w:rsid w:val="009033E8"/>
    <w:rsid w:val="009044EC"/>
    <w:rsid w:val="00904E7F"/>
    <w:rsid w:val="00906485"/>
    <w:rsid w:val="00907079"/>
    <w:rsid w:val="00907923"/>
    <w:rsid w:val="0091002A"/>
    <w:rsid w:val="009114C0"/>
    <w:rsid w:val="00914146"/>
    <w:rsid w:val="0091433A"/>
    <w:rsid w:val="009160B3"/>
    <w:rsid w:val="00916B2A"/>
    <w:rsid w:val="00920039"/>
    <w:rsid w:val="00920B1D"/>
    <w:rsid w:val="00921024"/>
    <w:rsid w:val="00921253"/>
    <w:rsid w:val="00922560"/>
    <w:rsid w:val="009247B9"/>
    <w:rsid w:val="00924849"/>
    <w:rsid w:val="00925B20"/>
    <w:rsid w:val="00926CA4"/>
    <w:rsid w:val="00926FF2"/>
    <w:rsid w:val="0092779D"/>
    <w:rsid w:val="00927A09"/>
    <w:rsid w:val="00927A6A"/>
    <w:rsid w:val="0093075F"/>
    <w:rsid w:val="00930939"/>
    <w:rsid w:val="009310D8"/>
    <w:rsid w:val="009317BC"/>
    <w:rsid w:val="009324F2"/>
    <w:rsid w:val="00933737"/>
    <w:rsid w:val="009337E9"/>
    <w:rsid w:val="00935FD2"/>
    <w:rsid w:val="009370DC"/>
    <w:rsid w:val="0093738B"/>
    <w:rsid w:val="00937A96"/>
    <w:rsid w:val="00940E8F"/>
    <w:rsid w:val="009434D3"/>
    <w:rsid w:val="009464DB"/>
    <w:rsid w:val="009467EE"/>
    <w:rsid w:val="00946FEE"/>
    <w:rsid w:val="00955BA9"/>
    <w:rsid w:val="009602C1"/>
    <w:rsid w:val="009638B4"/>
    <w:rsid w:val="009644AF"/>
    <w:rsid w:val="00964A46"/>
    <w:rsid w:val="009664D5"/>
    <w:rsid w:val="00970444"/>
    <w:rsid w:val="009736DA"/>
    <w:rsid w:val="00973C6E"/>
    <w:rsid w:val="00973DB3"/>
    <w:rsid w:val="0097545E"/>
    <w:rsid w:val="00977007"/>
    <w:rsid w:val="009771C6"/>
    <w:rsid w:val="00977792"/>
    <w:rsid w:val="00983A2A"/>
    <w:rsid w:val="00983D5E"/>
    <w:rsid w:val="00993902"/>
    <w:rsid w:val="0099475C"/>
    <w:rsid w:val="00994966"/>
    <w:rsid w:val="00994A8F"/>
    <w:rsid w:val="009973EA"/>
    <w:rsid w:val="009A007F"/>
    <w:rsid w:val="009A116F"/>
    <w:rsid w:val="009A2DD8"/>
    <w:rsid w:val="009A3B88"/>
    <w:rsid w:val="009A5D48"/>
    <w:rsid w:val="009A72C8"/>
    <w:rsid w:val="009B28AF"/>
    <w:rsid w:val="009B51C0"/>
    <w:rsid w:val="009B596C"/>
    <w:rsid w:val="009B5AC1"/>
    <w:rsid w:val="009B6B50"/>
    <w:rsid w:val="009B7D1C"/>
    <w:rsid w:val="009C03A7"/>
    <w:rsid w:val="009C2BB5"/>
    <w:rsid w:val="009C414A"/>
    <w:rsid w:val="009C5AC2"/>
    <w:rsid w:val="009C6C7C"/>
    <w:rsid w:val="009D0D93"/>
    <w:rsid w:val="009D1AAD"/>
    <w:rsid w:val="009D2700"/>
    <w:rsid w:val="009D3E32"/>
    <w:rsid w:val="009D53B7"/>
    <w:rsid w:val="009E28B3"/>
    <w:rsid w:val="009E64C4"/>
    <w:rsid w:val="009E6688"/>
    <w:rsid w:val="009E7AD1"/>
    <w:rsid w:val="009F2883"/>
    <w:rsid w:val="009F379F"/>
    <w:rsid w:val="009F51F8"/>
    <w:rsid w:val="009F65C6"/>
    <w:rsid w:val="009F668E"/>
    <w:rsid w:val="009F6E99"/>
    <w:rsid w:val="009F7859"/>
    <w:rsid w:val="00A02E81"/>
    <w:rsid w:val="00A05F3F"/>
    <w:rsid w:val="00A103FE"/>
    <w:rsid w:val="00A13517"/>
    <w:rsid w:val="00A1440B"/>
    <w:rsid w:val="00A17812"/>
    <w:rsid w:val="00A17EA5"/>
    <w:rsid w:val="00A20538"/>
    <w:rsid w:val="00A21634"/>
    <w:rsid w:val="00A21F6F"/>
    <w:rsid w:val="00A2259C"/>
    <w:rsid w:val="00A24FE2"/>
    <w:rsid w:val="00A2557D"/>
    <w:rsid w:val="00A27BEF"/>
    <w:rsid w:val="00A300E4"/>
    <w:rsid w:val="00A3113A"/>
    <w:rsid w:val="00A33BF5"/>
    <w:rsid w:val="00A3495F"/>
    <w:rsid w:val="00A34A83"/>
    <w:rsid w:val="00A352D4"/>
    <w:rsid w:val="00A35334"/>
    <w:rsid w:val="00A357B8"/>
    <w:rsid w:val="00A37C63"/>
    <w:rsid w:val="00A401CB"/>
    <w:rsid w:val="00A40229"/>
    <w:rsid w:val="00A4067C"/>
    <w:rsid w:val="00A426DE"/>
    <w:rsid w:val="00A43F36"/>
    <w:rsid w:val="00A44145"/>
    <w:rsid w:val="00A449B9"/>
    <w:rsid w:val="00A45978"/>
    <w:rsid w:val="00A45CAB"/>
    <w:rsid w:val="00A47616"/>
    <w:rsid w:val="00A478C9"/>
    <w:rsid w:val="00A50C89"/>
    <w:rsid w:val="00A50FD2"/>
    <w:rsid w:val="00A51E21"/>
    <w:rsid w:val="00A52677"/>
    <w:rsid w:val="00A537F5"/>
    <w:rsid w:val="00A60D6F"/>
    <w:rsid w:val="00A61728"/>
    <w:rsid w:val="00A61EF3"/>
    <w:rsid w:val="00A62DD8"/>
    <w:rsid w:val="00A63631"/>
    <w:rsid w:val="00A6466C"/>
    <w:rsid w:val="00A67884"/>
    <w:rsid w:val="00A70AA1"/>
    <w:rsid w:val="00A70EAC"/>
    <w:rsid w:val="00A73F00"/>
    <w:rsid w:val="00A7441A"/>
    <w:rsid w:val="00A75353"/>
    <w:rsid w:val="00A75908"/>
    <w:rsid w:val="00A83969"/>
    <w:rsid w:val="00A84253"/>
    <w:rsid w:val="00A8596A"/>
    <w:rsid w:val="00A859AD"/>
    <w:rsid w:val="00A8757A"/>
    <w:rsid w:val="00A912C7"/>
    <w:rsid w:val="00A91482"/>
    <w:rsid w:val="00A91515"/>
    <w:rsid w:val="00AA05D2"/>
    <w:rsid w:val="00AA2F4D"/>
    <w:rsid w:val="00AB0652"/>
    <w:rsid w:val="00AB2933"/>
    <w:rsid w:val="00AB2B0F"/>
    <w:rsid w:val="00AB5562"/>
    <w:rsid w:val="00AC1B72"/>
    <w:rsid w:val="00AC287E"/>
    <w:rsid w:val="00AC2BB1"/>
    <w:rsid w:val="00AC40F8"/>
    <w:rsid w:val="00AC49B2"/>
    <w:rsid w:val="00AC4DD7"/>
    <w:rsid w:val="00AC790E"/>
    <w:rsid w:val="00AD1A81"/>
    <w:rsid w:val="00AD31CC"/>
    <w:rsid w:val="00AD3881"/>
    <w:rsid w:val="00AD6BF0"/>
    <w:rsid w:val="00AD7DB8"/>
    <w:rsid w:val="00AE2F44"/>
    <w:rsid w:val="00AE5295"/>
    <w:rsid w:val="00AF1567"/>
    <w:rsid w:val="00AF1EE6"/>
    <w:rsid w:val="00B00D2F"/>
    <w:rsid w:val="00B04413"/>
    <w:rsid w:val="00B05120"/>
    <w:rsid w:val="00B054E2"/>
    <w:rsid w:val="00B05F08"/>
    <w:rsid w:val="00B12375"/>
    <w:rsid w:val="00B211C4"/>
    <w:rsid w:val="00B22359"/>
    <w:rsid w:val="00B2339B"/>
    <w:rsid w:val="00B2523E"/>
    <w:rsid w:val="00B26B41"/>
    <w:rsid w:val="00B30A08"/>
    <w:rsid w:val="00B34A07"/>
    <w:rsid w:val="00B44C85"/>
    <w:rsid w:val="00B51D73"/>
    <w:rsid w:val="00B52FDE"/>
    <w:rsid w:val="00B53FD9"/>
    <w:rsid w:val="00B54AD5"/>
    <w:rsid w:val="00B605CA"/>
    <w:rsid w:val="00B639FD"/>
    <w:rsid w:val="00B657C5"/>
    <w:rsid w:val="00B701BD"/>
    <w:rsid w:val="00B707BA"/>
    <w:rsid w:val="00B70F54"/>
    <w:rsid w:val="00B71354"/>
    <w:rsid w:val="00B7466A"/>
    <w:rsid w:val="00B75393"/>
    <w:rsid w:val="00B77FF7"/>
    <w:rsid w:val="00B8068E"/>
    <w:rsid w:val="00B80B2B"/>
    <w:rsid w:val="00B80F0F"/>
    <w:rsid w:val="00B8187A"/>
    <w:rsid w:val="00B820F8"/>
    <w:rsid w:val="00B84B1E"/>
    <w:rsid w:val="00B8603F"/>
    <w:rsid w:val="00B87C61"/>
    <w:rsid w:val="00B9724B"/>
    <w:rsid w:val="00B97C63"/>
    <w:rsid w:val="00BA1216"/>
    <w:rsid w:val="00BA214C"/>
    <w:rsid w:val="00BA221D"/>
    <w:rsid w:val="00BA2C98"/>
    <w:rsid w:val="00BA59D7"/>
    <w:rsid w:val="00BA7F72"/>
    <w:rsid w:val="00BB1741"/>
    <w:rsid w:val="00BB3041"/>
    <w:rsid w:val="00BB48CA"/>
    <w:rsid w:val="00BB4D7A"/>
    <w:rsid w:val="00BC1AF1"/>
    <w:rsid w:val="00BC1EB3"/>
    <w:rsid w:val="00BC5C01"/>
    <w:rsid w:val="00BC64E7"/>
    <w:rsid w:val="00BC6D69"/>
    <w:rsid w:val="00BC7463"/>
    <w:rsid w:val="00BD0D05"/>
    <w:rsid w:val="00BD1891"/>
    <w:rsid w:val="00BD2074"/>
    <w:rsid w:val="00BD2A9B"/>
    <w:rsid w:val="00BD4233"/>
    <w:rsid w:val="00BE09A9"/>
    <w:rsid w:val="00BE0BA6"/>
    <w:rsid w:val="00BE2B3D"/>
    <w:rsid w:val="00BE3A64"/>
    <w:rsid w:val="00BE6CBC"/>
    <w:rsid w:val="00BE7A65"/>
    <w:rsid w:val="00BE7C61"/>
    <w:rsid w:val="00BF372F"/>
    <w:rsid w:val="00BF3A71"/>
    <w:rsid w:val="00BF6AA2"/>
    <w:rsid w:val="00C01EF9"/>
    <w:rsid w:val="00C02CBD"/>
    <w:rsid w:val="00C02E87"/>
    <w:rsid w:val="00C03E40"/>
    <w:rsid w:val="00C05B0F"/>
    <w:rsid w:val="00C068BA"/>
    <w:rsid w:val="00C074EC"/>
    <w:rsid w:val="00C115C1"/>
    <w:rsid w:val="00C11CB8"/>
    <w:rsid w:val="00C13C73"/>
    <w:rsid w:val="00C14897"/>
    <w:rsid w:val="00C15336"/>
    <w:rsid w:val="00C1592A"/>
    <w:rsid w:val="00C161B5"/>
    <w:rsid w:val="00C1695A"/>
    <w:rsid w:val="00C2225C"/>
    <w:rsid w:val="00C226A5"/>
    <w:rsid w:val="00C22957"/>
    <w:rsid w:val="00C22B68"/>
    <w:rsid w:val="00C23F52"/>
    <w:rsid w:val="00C23F89"/>
    <w:rsid w:val="00C242DF"/>
    <w:rsid w:val="00C251F9"/>
    <w:rsid w:val="00C2582C"/>
    <w:rsid w:val="00C25DF2"/>
    <w:rsid w:val="00C26733"/>
    <w:rsid w:val="00C324AA"/>
    <w:rsid w:val="00C3260F"/>
    <w:rsid w:val="00C32A35"/>
    <w:rsid w:val="00C32C4D"/>
    <w:rsid w:val="00C35A18"/>
    <w:rsid w:val="00C35DD2"/>
    <w:rsid w:val="00C36F27"/>
    <w:rsid w:val="00C37438"/>
    <w:rsid w:val="00C411E7"/>
    <w:rsid w:val="00C445B1"/>
    <w:rsid w:val="00C47D02"/>
    <w:rsid w:val="00C50D35"/>
    <w:rsid w:val="00C514E9"/>
    <w:rsid w:val="00C53944"/>
    <w:rsid w:val="00C56C90"/>
    <w:rsid w:val="00C578AE"/>
    <w:rsid w:val="00C6125B"/>
    <w:rsid w:val="00C63629"/>
    <w:rsid w:val="00C669C3"/>
    <w:rsid w:val="00C66AE8"/>
    <w:rsid w:val="00C75051"/>
    <w:rsid w:val="00C75774"/>
    <w:rsid w:val="00C75CD0"/>
    <w:rsid w:val="00C77390"/>
    <w:rsid w:val="00C806CB"/>
    <w:rsid w:val="00C81CD5"/>
    <w:rsid w:val="00C87DAC"/>
    <w:rsid w:val="00C90CDF"/>
    <w:rsid w:val="00C9101F"/>
    <w:rsid w:val="00C925B6"/>
    <w:rsid w:val="00C929E0"/>
    <w:rsid w:val="00C92C21"/>
    <w:rsid w:val="00C9380C"/>
    <w:rsid w:val="00C94E3C"/>
    <w:rsid w:val="00C950FC"/>
    <w:rsid w:val="00C954AF"/>
    <w:rsid w:val="00C95734"/>
    <w:rsid w:val="00C95E65"/>
    <w:rsid w:val="00C97183"/>
    <w:rsid w:val="00C97AB3"/>
    <w:rsid w:val="00CA3D8A"/>
    <w:rsid w:val="00CA3DD1"/>
    <w:rsid w:val="00CA3E24"/>
    <w:rsid w:val="00CA4F83"/>
    <w:rsid w:val="00CA540D"/>
    <w:rsid w:val="00CA5A99"/>
    <w:rsid w:val="00CA7B4A"/>
    <w:rsid w:val="00CB0685"/>
    <w:rsid w:val="00CB07F3"/>
    <w:rsid w:val="00CB0E86"/>
    <w:rsid w:val="00CB170A"/>
    <w:rsid w:val="00CB1DBB"/>
    <w:rsid w:val="00CB1E43"/>
    <w:rsid w:val="00CB68B5"/>
    <w:rsid w:val="00CB78BE"/>
    <w:rsid w:val="00CC18B8"/>
    <w:rsid w:val="00CD1EED"/>
    <w:rsid w:val="00CD4F64"/>
    <w:rsid w:val="00CD5D15"/>
    <w:rsid w:val="00CE29EF"/>
    <w:rsid w:val="00CE2DFD"/>
    <w:rsid w:val="00CE380C"/>
    <w:rsid w:val="00CE4A4D"/>
    <w:rsid w:val="00CE56D3"/>
    <w:rsid w:val="00CE681E"/>
    <w:rsid w:val="00CE6B84"/>
    <w:rsid w:val="00CF0E86"/>
    <w:rsid w:val="00CF160D"/>
    <w:rsid w:val="00CF2B97"/>
    <w:rsid w:val="00CF3D3E"/>
    <w:rsid w:val="00CF6E28"/>
    <w:rsid w:val="00CF6E3C"/>
    <w:rsid w:val="00CF7587"/>
    <w:rsid w:val="00D000C0"/>
    <w:rsid w:val="00D00501"/>
    <w:rsid w:val="00D00980"/>
    <w:rsid w:val="00D00E84"/>
    <w:rsid w:val="00D010AC"/>
    <w:rsid w:val="00D032D0"/>
    <w:rsid w:val="00D05649"/>
    <w:rsid w:val="00D07164"/>
    <w:rsid w:val="00D13FC1"/>
    <w:rsid w:val="00D14087"/>
    <w:rsid w:val="00D15576"/>
    <w:rsid w:val="00D157FF"/>
    <w:rsid w:val="00D15861"/>
    <w:rsid w:val="00D15C3D"/>
    <w:rsid w:val="00D16D84"/>
    <w:rsid w:val="00D173EE"/>
    <w:rsid w:val="00D23DD1"/>
    <w:rsid w:val="00D26AA8"/>
    <w:rsid w:val="00D32259"/>
    <w:rsid w:val="00D3416A"/>
    <w:rsid w:val="00D36856"/>
    <w:rsid w:val="00D3767C"/>
    <w:rsid w:val="00D40778"/>
    <w:rsid w:val="00D4294C"/>
    <w:rsid w:val="00D42AB2"/>
    <w:rsid w:val="00D42C1F"/>
    <w:rsid w:val="00D477E5"/>
    <w:rsid w:val="00D50D7B"/>
    <w:rsid w:val="00D5198C"/>
    <w:rsid w:val="00D536CA"/>
    <w:rsid w:val="00D53EB6"/>
    <w:rsid w:val="00D547E3"/>
    <w:rsid w:val="00D54A3F"/>
    <w:rsid w:val="00D6185B"/>
    <w:rsid w:val="00D63BCC"/>
    <w:rsid w:val="00D65240"/>
    <w:rsid w:val="00D67D30"/>
    <w:rsid w:val="00D71095"/>
    <w:rsid w:val="00D719AA"/>
    <w:rsid w:val="00D733EC"/>
    <w:rsid w:val="00D745DC"/>
    <w:rsid w:val="00D746E4"/>
    <w:rsid w:val="00D76B79"/>
    <w:rsid w:val="00D7746B"/>
    <w:rsid w:val="00D80145"/>
    <w:rsid w:val="00D8027E"/>
    <w:rsid w:val="00D80592"/>
    <w:rsid w:val="00D8364A"/>
    <w:rsid w:val="00D83DB7"/>
    <w:rsid w:val="00D843D6"/>
    <w:rsid w:val="00D84E6F"/>
    <w:rsid w:val="00D8525D"/>
    <w:rsid w:val="00D857BE"/>
    <w:rsid w:val="00D85C15"/>
    <w:rsid w:val="00D8788E"/>
    <w:rsid w:val="00D91CE2"/>
    <w:rsid w:val="00D922D5"/>
    <w:rsid w:val="00D93162"/>
    <w:rsid w:val="00D9627E"/>
    <w:rsid w:val="00D979A4"/>
    <w:rsid w:val="00DB01D5"/>
    <w:rsid w:val="00DB3D62"/>
    <w:rsid w:val="00DB415E"/>
    <w:rsid w:val="00DB6A09"/>
    <w:rsid w:val="00DC040A"/>
    <w:rsid w:val="00DC06CF"/>
    <w:rsid w:val="00DC08B1"/>
    <w:rsid w:val="00DC2614"/>
    <w:rsid w:val="00DC4623"/>
    <w:rsid w:val="00DC46BD"/>
    <w:rsid w:val="00DC5C6E"/>
    <w:rsid w:val="00DD27CB"/>
    <w:rsid w:val="00DD291E"/>
    <w:rsid w:val="00DD2D6A"/>
    <w:rsid w:val="00DD3559"/>
    <w:rsid w:val="00DD3FE7"/>
    <w:rsid w:val="00DD4A0D"/>
    <w:rsid w:val="00DD4A89"/>
    <w:rsid w:val="00DD534B"/>
    <w:rsid w:val="00DD575E"/>
    <w:rsid w:val="00DD7122"/>
    <w:rsid w:val="00DE2CD2"/>
    <w:rsid w:val="00DE68DE"/>
    <w:rsid w:val="00DE6D9E"/>
    <w:rsid w:val="00DF5293"/>
    <w:rsid w:val="00DF5BC7"/>
    <w:rsid w:val="00E006A6"/>
    <w:rsid w:val="00E02AE5"/>
    <w:rsid w:val="00E036D0"/>
    <w:rsid w:val="00E047CF"/>
    <w:rsid w:val="00E05878"/>
    <w:rsid w:val="00E10DB3"/>
    <w:rsid w:val="00E10DB4"/>
    <w:rsid w:val="00E12F43"/>
    <w:rsid w:val="00E14114"/>
    <w:rsid w:val="00E143E7"/>
    <w:rsid w:val="00E146CF"/>
    <w:rsid w:val="00E210A4"/>
    <w:rsid w:val="00E212E6"/>
    <w:rsid w:val="00E21FF9"/>
    <w:rsid w:val="00E24212"/>
    <w:rsid w:val="00E24BD8"/>
    <w:rsid w:val="00E25B0D"/>
    <w:rsid w:val="00E317EE"/>
    <w:rsid w:val="00E325A8"/>
    <w:rsid w:val="00E3312C"/>
    <w:rsid w:val="00E34362"/>
    <w:rsid w:val="00E35C32"/>
    <w:rsid w:val="00E36AAF"/>
    <w:rsid w:val="00E3797C"/>
    <w:rsid w:val="00E41B27"/>
    <w:rsid w:val="00E41CC2"/>
    <w:rsid w:val="00E4375A"/>
    <w:rsid w:val="00E448A8"/>
    <w:rsid w:val="00E46B3E"/>
    <w:rsid w:val="00E50D9B"/>
    <w:rsid w:val="00E5131B"/>
    <w:rsid w:val="00E5142A"/>
    <w:rsid w:val="00E51885"/>
    <w:rsid w:val="00E5226E"/>
    <w:rsid w:val="00E52696"/>
    <w:rsid w:val="00E549C6"/>
    <w:rsid w:val="00E55F4B"/>
    <w:rsid w:val="00E576FF"/>
    <w:rsid w:val="00E63208"/>
    <w:rsid w:val="00E63ABC"/>
    <w:rsid w:val="00E63FC8"/>
    <w:rsid w:val="00E65586"/>
    <w:rsid w:val="00E65720"/>
    <w:rsid w:val="00E663B2"/>
    <w:rsid w:val="00E67AB9"/>
    <w:rsid w:val="00E70195"/>
    <w:rsid w:val="00E70646"/>
    <w:rsid w:val="00E72157"/>
    <w:rsid w:val="00E75A05"/>
    <w:rsid w:val="00E75E90"/>
    <w:rsid w:val="00E7645B"/>
    <w:rsid w:val="00E80922"/>
    <w:rsid w:val="00E81D44"/>
    <w:rsid w:val="00E822FD"/>
    <w:rsid w:val="00E843BE"/>
    <w:rsid w:val="00E86F67"/>
    <w:rsid w:val="00E87ECD"/>
    <w:rsid w:val="00E902D6"/>
    <w:rsid w:val="00E903B5"/>
    <w:rsid w:val="00E968F3"/>
    <w:rsid w:val="00EA05E0"/>
    <w:rsid w:val="00EA1291"/>
    <w:rsid w:val="00EA298E"/>
    <w:rsid w:val="00EA3A8F"/>
    <w:rsid w:val="00EA53DA"/>
    <w:rsid w:val="00EA6679"/>
    <w:rsid w:val="00EA6E86"/>
    <w:rsid w:val="00EA7E38"/>
    <w:rsid w:val="00EB18AB"/>
    <w:rsid w:val="00EB1B92"/>
    <w:rsid w:val="00EB408C"/>
    <w:rsid w:val="00EB410B"/>
    <w:rsid w:val="00EC138B"/>
    <w:rsid w:val="00EC22B7"/>
    <w:rsid w:val="00EC22EC"/>
    <w:rsid w:val="00EC2BB9"/>
    <w:rsid w:val="00EC6934"/>
    <w:rsid w:val="00ED00A3"/>
    <w:rsid w:val="00ED0CBE"/>
    <w:rsid w:val="00ED3CB3"/>
    <w:rsid w:val="00ED4F26"/>
    <w:rsid w:val="00ED50B8"/>
    <w:rsid w:val="00ED518B"/>
    <w:rsid w:val="00ED63FA"/>
    <w:rsid w:val="00ED6744"/>
    <w:rsid w:val="00ED71B1"/>
    <w:rsid w:val="00ED7664"/>
    <w:rsid w:val="00ED774D"/>
    <w:rsid w:val="00EE0A6E"/>
    <w:rsid w:val="00EE2838"/>
    <w:rsid w:val="00EE374C"/>
    <w:rsid w:val="00EE72CF"/>
    <w:rsid w:val="00EF341D"/>
    <w:rsid w:val="00EF3C39"/>
    <w:rsid w:val="00F02FDE"/>
    <w:rsid w:val="00F065AA"/>
    <w:rsid w:val="00F07E33"/>
    <w:rsid w:val="00F1196A"/>
    <w:rsid w:val="00F1244F"/>
    <w:rsid w:val="00F1531C"/>
    <w:rsid w:val="00F15E36"/>
    <w:rsid w:val="00F16631"/>
    <w:rsid w:val="00F211E6"/>
    <w:rsid w:val="00F21B59"/>
    <w:rsid w:val="00F24866"/>
    <w:rsid w:val="00F24C28"/>
    <w:rsid w:val="00F25315"/>
    <w:rsid w:val="00F26783"/>
    <w:rsid w:val="00F26A06"/>
    <w:rsid w:val="00F30138"/>
    <w:rsid w:val="00F316BE"/>
    <w:rsid w:val="00F316FD"/>
    <w:rsid w:val="00F31E6D"/>
    <w:rsid w:val="00F326E5"/>
    <w:rsid w:val="00F346CD"/>
    <w:rsid w:val="00F346D6"/>
    <w:rsid w:val="00F37A9D"/>
    <w:rsid w:val="00F41C79"/>
    <w:rsid w:val="00F45CC8"/>
    <w:rsid w:val="00F46EEE"/>
    <w:rsid w:val="00F50622"/>
    <w:rsid w:val="00F54DA9"/>
    <w:rsid w:val="00F56FB1"/>
    <w:rsid w:val="00F60BE6"/>
    <w:rsid w:val="00F61B47"/>
    <w:rsid w:val="00F61C81"/>
    <w:rsid w:val="00F6290D"/>
    <w:rsid w:val="00F645DF"/>
    <w:rsid w:val="00F66A49"/>
    <w:rsid w:val="00F70752"/>
    <w:rsid w:val="00F712F6"/>
    <w:rsid w:val="00F7266E"/>
    <w:rsid w:val="00F745A3"/>
    <w:rsid w:val="00F77B01"/>
    <w:rsid w:val="00F801E5"/>
    <w:rsid w:val="00F809CB"/>
    <w:rsid w:val="00F80A97"/>
    <w:rsid w:val="00F82CBE"/>
    <w:rsid w:val="00F83BD4"/>
    <w:rsid w:val="00F846CC"/>
    <w:rsid w:val="00F92DA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27C4"/>
    <w:rsid w:val="00FA392F"/>
    <w:rsid w:val="00FA513B"/>
    <w:rsid w:val="00FA53AD"/>
    <w:rsid w:val="00FB04DA"/>
    <w:rsid w:val="00FB14FD"/>
    <w:rsid w:val="00FB275B"/>
    <w:rsid w:val="00FB47F0"/>
    <w:rsid w:val="00FB4B45"/>
    <w:rsid w:val="00FB4C08"/>
    <w:rsid w:val="00FB7F10"/>
    <w:rsid w:val="00FC40FE"/>
    <w:rsid w:val="00FC5860"/>
    <w:rsid w:val="00FC6032"/>
    <w:rsid w:val="00FC6179"/>
    <w:rsid w:val="00FC6373"/>
    <w:rsid w:val="00FC64D0"/>
    <w:rsid w:val="00FC67F8"/>
    <w:rsid w:val="00FC6FAB"/>
    <w:rsid w:val="00FC7E35"/>
    <w:rsid w:val="00FD00F1"/>
    <w:rsid w:val="00FD4D77"/>
    <w:rsid w:val="00FD5AFB"/>
    <w:rsid w:val="00FD5D5E"/>
    <w:rsid w:val="00FD6E7A"/>
    <w:rsid w:val="00FD70FB"/>
    <w:rsid w:val="00FE0537"/>
    <w:rsid w:val="00FE2949"/>
    <w:rsid w:val="00FE3231"/>
    <w:rsid w:val="00FE40ED"/>
    <w:rsid w:val="00FE483E"/>
    <w:rsid w:val="00FE7002"/>
    <w:rsid w:val="00FF3CD7"/>
    <w:rsid w:val="00FF4C94"/>
    <w:rsid w:val="00FF4E0D"/>
    <w:rsid w:val="00FF5D91"/>
    <w:rsid w:val="00FF6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1">
    <w:name w:val="heading 1"/>
    <w:basedOn w:val="Normal"/>
    <w:next w:val="Normal"/>
    <w:link w:val="Heading1Char"/>
    <w:uiPriority w:val="9"/>
    <w:qFormat/>
    <w:rsid w:val="00AD1A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46B3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tle 2,List Paragraph1"/>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aliases w:val="Title 2 Char,List Paragraph1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customStyle="1" w:styleId="Heading1Char">
    <w:name w:val="Heading 1 Char"/>
    <w:basedOn w:val="DefaultParagraphFont"/>
    <w:link w:val="Heading1"/>
    <w:uiPriority w:val="9"/>
    <w:rsid w:val="00AD1A81"/>
    <w:rPr>
      <w:rFonts w:asciiTheme="majorHAnsi" w:eastAsiaTheme="majorEastAsia" w:hAnsiTheme="majorHAnsi" w:cstheme="majorBidi"/>
      <w:color w:val="365F91" w:themeColor="accent1" w:themeShade="BF"/>
      <w:sz w:val="32"/>
      <w:szCs w:val="32"/>
      <w:lang w:eastAsia="en-GB"/>
    </w:rPr>
  </w:style>
  <w:style w:type="character" w:customStyle="1" w:styleId="Heading3Char">
    <w:name w:val="Heading 3 Char"/>
    <w:basedOn w:val="DefaultParagraphFont"/>
    <w:link w:val="Heading3"/>
    <w:uiPriority w:val="9"/>
    <w:rsid w:val="00E46B3E"/>
    <w:rPr>
      <w:rFonts w:asciiTheme="majorHAnsi" w:eastAsiaTheme="majorEastAsia" w:hAnsiTheme="majorHAnsi" w:cstheme="majorBidi"/>
      <w:color w:val="243F60" w:themeColor="accent1" w:themeShade="7F"/>
      <w:szCs w:val="24"/>
      <w:lang w:eastAsia="en-GB"/>
    </w:rPr>
  </w:style>
  <w:style w:type="paragraph" w:customStyle="1" w:styleId="Body">
    <w:name w:val="Body"/>
    <w:rsid w:val="0020787D"/>
    <w:pPr>
      <w:ind w:left="0" w:firstLine="0"/>
    </w:pPr>
    <w:rPr>
      <w:rFonts w:ascii="Helvetica" w:eastAsia="ヒラギノ角ゴ Pro W3" w:hAnsi="Helvetica"/>
      <w:color w:val="000000"/>
      <w:szCs w:val="24"/>
      <w:lang w:val="en-US"/>
    </w:rPr>
  </w:style>
  <w:style w:type="character" w:styleId="UnresolvedMention">
    <w:name w:val="Unresolved Mention"/>
    <w:basedOn w:val="DefaultParagraphFont"/>
    <w:uiPriority w:val="99"/>
    <w:semiHidden/>
    <w:unhideWhenUsed/>
    <w:rsid w:val="00801425"/>
    <w:rPr>
      <w:color w:val="605E5C"/>
      <w:shd w:val="clear" w:color="auto" w:fill="E1DFDD"/>
    </w:rPr>
  </w:style>
  <w:style w:type="paragraph" w:styleId="TOCHeading">
    <w:name w:val="TOC Heading"/>
    <w:basedOn w:val="Heading1"/>
    <w:next w:val="Normal"/>
    <w:uiPriority w:val="39"/>
    <w:unhideWhenUsed/>
    <w:qFormat/>
    <w:rsid w:val="00D54A3F"/>
    <w:pPr>
      <w:spacing w:before="480" w:line="276" w:lineRule="auto"/>
      <w:ind w:left="0" w:firstLine="0"/>
      <w:outlineLvl w:val="9"/>
    </w:pPr>
    <w:rPr>
      <w:b/>
      <w:bCs/>
      <w:sz w:val="28"/>
      <w:szCs w:val="28"/>
      <w:lang w:val="en-US" w:eastAsia="en-US"/>
    </w:rPr>
  </w:style>
  <w:style w:type="paragraph" w:styleId="TOC1">
    <w:name w:val="toc 1"/>
    <w:basedOn w:val="Normal"/>
    <w:next w:val="Normal"/>
    <w:autoRedefine/>
    <w:uiPriority w:val="39"/>
    <w:unhideWhenUsed/>
    <w:rsid w:val="00D54A3F"/>
    <w:pPr>
      <w:spacing w:before="120"/>
      <w:ind w:left="0"/>
    </w:pPr>
    <w:rPr>
      <w:rFonts w:asciiTheme="minorHAnsi" w:hAnsiTheme="minorHAnsi" w:cstheme="minorHAnsi"/>
      <w:b/>
      <w:bCs/>
      <w:i/>
      <w:iCs/>
      <w:szCs w:val="24"/>
    </w:rPr>
  </w:style>
  <w:style w:type="paragraph" w:styleId="TOC2">
    <w:name w:val="toc 2"/>
    <w:basedOn w:val="Normal"/>
    <w:next w:val="Normal"/>
    <w:autoRedefine/>
    <w:uiPriority w:val="39"/>
    <w:unhideWhenUsed/>
    <w:rsid w:val="0052047D"/>
    <w:pPr>
      <w:tabs>
        <w:tab w:val="right" w:leader="dot" w:pos="14843"/>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54A3F"/>
    <w:pPr>
      <w:ind w:left="480"/>
    </w:pPr>
    <w:rPr>
      <w:rFonts w:asciiTheme="minorHAnsi" w:hAnsiTheme="minorHAnsi" w:cstheme="minorHAnsi"/>
      <w:sz w:val="20"/>
    </w:rPr>
  </w:style>
  <w:style w:type="paragraph" w:styleId="TOC4">
    <w:name w:val="toc 4"/>
    <w:basedOn w:val="Normal"/>
    <w:next w:val="Normal"/>
    <w:autoRedefine/>
    <w:uiPriority w:val="39"/>
    <w:semiHidden/>
    <w:unhideWhenUsed/>
    <w:rsid w:val="00D54A3F"/>
    <w:pPr>
      <w:ind w:left="720"/>
    </w:pPr>
    <w:rPr>
      <w:rFonts w:asciiTheme="minorHAnsi" w:hAnsiTheme="minorHAnsi" w:cstheme="minorHAnsi"/>
      <w:sz w:val="20"/>
    </w:rPr>
  </w:style>
  <w:style w:type="paragraph" w:styleId="TOC5">
    <w:name w:val="toc 5"/>
    <w:basedOn w:val="Normal"/>
    <w:next w:val="Normal"/>
    <w:autoRedefine/>
    <w:uiPriority w:val="39"/>
    <w:semiHidden/>
    <w:unhideWhenUsed/>
    <w:rsid w:val="00D54A3F"/>
    <w:pPr>
      <w:ind w:left="960"/>
    </w:pPr>
    <w:rPr>
      <w:rFonts w:asciiTheme="minorHAnsi" w:hAnsiTheme="minorHAnsi" w:cstheme="minorHAnsi"/>
      <w:sz w:val="20"/>
    </w:rPr>
  </w:style>
  <w:style w:type="paragraph" w:styleId="TOC6">
    <w:name w:val="toc 6"/>
    <w:basedOn w:val="Normal"/>
    <w:next w:val="Normal"/>
    <w:autoRedefine/>
    <w:uiPriority w:val="39"/>
    <w:semiHidden/>
    <w:unhideWhenUsed/>
    <w:rsid w:val="00D54A3F"/>
    <w:pPr>
      <w:ind w:left="1200"/>
    </w:pPr>
    <w:rPr>
      <w:rFonts w:asciiTheme="minorHAnsi" w:hAnsiTheme="minorHAnsi" w:cstheme="minorHAnsi"/>
      <w:sz w:val="20"/>
    </w:rPr>
  </w:style>
  <w:style w:type="paragraph" w:styleId="TOC7">
    <w:name w:val="toc 7"/>
    <w:basedOn w:val="Normal"/>
    <w:next w:val="Normal"/>
    <w:autoRedefine/>
    <w:uiPriority w:val="39"/>
    <w:semiHidden/>
    <w:unhideWhenUsed/>
    <w:rsid w:val="00D54A3F"/>
    <w:pPr>
      <w:ind w:left="1440"/>
    </w:pPr>
    <w:rPr>
      <w:rFonts w:asciiTheme="minorHAnsi" w:hAnsiTheme="minorHAnsi" w:cstheme="minorHAnsi"/>
      <w:sz w:val="20"/>
    </w:rPr>
  </w:style>
  <w:style w:type="paragraph" w:styleId="TOC8">
    <w:name w:val="toc 8"/>
    <w:basedOn w:val="Normal"/>
    <w:next w:val="Normal"/>
    <w:autoRedefine/>
    <w:uiPriority w:val="39"/>
    <w:semiHidden/>
    <w:unhideWhenUsed/>
    <w:rsid w:val="00D54A3F"/>
    <w:pPr>
      <w:ind w:left="1680"/>
    </w:pPr>
    <w:rPr>
      <w:rFonts w:asciiTheme="minorHAnsi" w:hAnsiTheme="minorHAnsi" w:cstheme="minorHAnsi"/>
      <w:sz w:val="20"/>
    </w:rPr>
  </w:style>
  <w:style w:type="paragraph" w:styleId="TOC9">
    <w:name w:val="toc 9"/>
    <w:basedOn w:val="Normal"/>
    <w:next w:val="Normal"/>
    <w:autoRedefine/>
    <w:uiPriority w:val="39"/>
    <w:semiHidden/>
    <w:unhideWhenUsed/>
    <w:rsid w:val="00D54A3F"/>
    <w:pPr>
      <w:ind w:left="1920"/>
    </w:pPr>
    <w:rPr>
      <w:rFonts w:asciiTheme="minorHAnsi" w:hAnsiTheme="minorHAnsi" w:cstheme="minorHAnsi"/>
      <w:sz w:val="20"/>
    </w:rPr>
  </w:style>
  <w:style w:type="character" w:customStyle="1" w:styleId="apple-converted-space">
    <w:name w:val="apple-converted-space"/>
    <w:basedOn w:val="DefaultParagraphFont"/>
    <w:rsid w:val="00EA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811">
      <w:bodyDiv w:val="1"/>
      <w:marLeft w:val="0"/>
      <w:marRight w:val="0"/>
      <w:marTop w:val="0"/>
      <w:marBottom w:val="0"/>
      <w:divBdr>
        <w:top w:val="none" w:sz="0" w:space="0" w:color="auto"/>
        <w:left w:val="none" w:sz="0" w:space="0" w:color="auto"/>
        <w:bottom w:val="none" w:sz="0" w:space="0" w:color="auto"/>
        <w:right w:val="none" w:sz="0" w:space="0" w:color="auto"/>
      </w:divBdr>
      <w:divsChild>
        <w:div w:id="572005354">
          <w:marLeft w:val="0"/>
          <w:marRight w:val="0"/>
          <w:marTop w:val="0"/>
          <w:marBottom w:val="0"/>
          <w:divBdr>
            <w:top w:val="none" w:sz="0" w:space="0" w:color="auto"/>
            <w:left w:val="none" w:sz="0" w:space="0" w:color="auto"/>
            <w:bottom w:val="none" w:sz="0" w:space="0" w:color="auto"/>
            <w:right w:val="none" w:sz="0" w:space="0" w:color="auto"/>
          </w:divBdr>
          <w:divsChild>
            <w:div w:id="869144373">
              <w:marLeft w:val="0"/>
              <w:marRight w:val="0"/>
              <w:marTop w:val="0"/>
              <w:marBottom w:val="0"/>
              <w:divBdr>
                <w:top w:val="none" w:sz="0" w:space="0" w:color="auto"/>
                <w:left w:val="none" w:sz="0" w:space="0" w:color="auto"/>
                <w:bottom w:val="none" w:sz="0" w:space="0" w:color="auto"/>
                <w:right w:val="none" w:sz="0" w:space="0" w:color="auto"/>
              </w:divBdr>
              <w:divsChild>
                <w:div w:id="1638610182">
                  <w:marLeft w:val="0"/>
                  <w:marRight w:val="0"/>
                  <w:marTop w:val="0"/>
                  <w:marBottom w:val="0"/>
                  <w:divBdr>
                    <w:top w:val="none" w:sz="0" w:space="0" w:color="auto"/>
                    <w:left w:val="none" w:sz="0" w:space="0" w:color="auto"/>
                    <w:bottom w:val="none" w:sz="0" w:space="0" w:color="auto"/>
                    <w:right w:val="none" w:sz="0" w:space="0" w:color="auto"/>
                  </w:divBdr>
                </w:div>
              </w:divsChild>
            </w:div>
            <w:div w:id="234900977">
              <w:marLeft w:val="0"/>
              <w:marRight w:val="0"/>
              <w:marTop w:val="0"/>
              <w:marBottom w:val="0"/>
              <w:divBdr>
                <w:top w:val="none" w:sz="0" w:space="0" w:color="auto"/>
                <w:left w:val="none" w:sz="0" w:space="0" w:color="auto"/>
                <w:bottom w:val="none" w:sz="0" w:space="0" w:color="auto"/>
                <w:right w:val="none" w:sz="0" w:space="0" w:color="auto"/>
              </w:divBdr>
              <w:divsChild>
                <w:div w:id="1546065155">
                  <w:marLeft w:val="0"/>
                  <w:marRight w:val="0"/>
                  <w:marTop w:val="0"/>
                  <w:marBottom w:val="0"/>
                  <w:divBdr>
                    <w:top w:val="none" w:sz="0" w:space="0" w:color="auto"/>
                    <w:left w:val="none" w:sz="0" w:space="0" w:color="auto"/>
                    <w:bottom w:val="none" w:sz="0" w:space="0" w:color="auto"/>
                    <w:right w:val="none" w:sz="0" w:space="0" w:color="auto"/>
                  </w:divBdr>
                </w:div>
                <w:div w:id="571623910">
                  <w:marLeft w:val="0"/>
                  <w:marRight w:val="0"/>
                  <w:marTop w:val="0"/>
                  <w:marBottom w:val="0"/>
                  <w:divBdr>
                    <w:top w:val="none" w:sz="0" w:space="0" w:color="auto"/>
                    <w:left w:val="none" w:sz="0" w:space="0" w:color="auto"/>
                    <w:bottom w:val="none" w:sz="0" w:space="0" w:color="auto"/>
                    <w:right w:val="none" w:sz="0" w:space="0" w:color="auto"/>
                  </w:divBdr>
                </w:div>
              </w:divsChild>
            </w:div>
            <w:div w:id="1699701778">
              <w:marLeft w:val="0"/>
              <w:marRight w:val="0"/>
              <w:marTop w:val="0"/>
              <w:marBottom w:val="0"/>
              <w:divBdr>
                <w:top w:val="none" w:sz="0" w:space="0" w:color="auto"/>
                <w:left w:val="none" w:sz="0" w:space="0" w:color="auto"/>
                <w:bottom w:val="none" w:sz="0" w:space="0" w:color="auto"/>
                <w:right w:val="none" w:sz="0" w:space="0" w:color="auto"/>
              </w:divBdr>
              <w:divsChild>
                <w:div w:id="694186531">
                  <w:marLeft w:val="0"/>
                  <w:marRight w:val="0"/>
                  <w:marTop w:val="0"/>
                  <w:marBottom w:val="0"/>
                  <w:divBdr>
                    <w:top w:val="none" w:sz="0" w:space="0" w:color="auto"/>
                    <w:left w:val="none" w:sz="0" w:space="0" w:color="auto"/>
                    <w:bottom w:val="none" w:sz="0" w:space="0" w:color="auto"/>
                    <w:right w:val="none" w:sz="0" w:space="0" w:color="auto"/>
                  </w:divBdr>
                </w:div>
              </w:divsChild>
            </w:div>
            <w:div w:id="1340044941">
              <w:marLeft w:val="0"/>
              <w:marRight w:val="0"/>
              <w:marTop w:val="0"/>
              <w:marBottom w:val="0"/>
              <w:divBdr>
                <w:top w:val="none" w:sz="0" w:space="0" w:color="auto"/>
                <w:left w:val="none" w:sz="0" w:space="0" w:color="auto"/>
                <w:bottom w:val="none" w:sz="0" w:space="0" w:color="auto"/>
                <w:right w:val="none" w:sz="0" w:space="0" w:color="auto"/>
              </w:divBdr>
              <w:divsChild>
                <w:div w:id="17885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6188">
      <w:bodyDiv w:val="1"/>
      <w:marLeft w:val="0"/>
      <w:marRight w:val="0"/>
      <w:marTop w:val="0"/>
      <w:marBottom w:val="0"/>
      <w:divBdr>
        <w:top w:val="none" w:sz="0" w:space="0" w:color="auto"/>
        <w:left w:val="none" w:sz="0" w:space="0" w:color="auto"/>
        <w:bottom w:val="none" w:sz="0" w:space="0" w:color="auto"/>
        <w:right w:val="none" w:sz="0" w:space="0" w:color="auto"/>
      </w:divBdr>
    </w:div>
    <w:div w:id="226304557">
      <w:bodyDiv w:val="1"/>
      <w:marLeft w:val="0"/>
      <w:marRight w:val="0"/>
      <w:marTop w:val="0"/>
      <w:marBottom w:val="0"/>
      <w:divBdr>
        <w:top w:val="none" w:sz="0" w:space="0" w:color="auto"/>
        <w:left w:val="none" w:sz="0" w:space="0" w:color="auto"/>
        <w:bottom w:val="none" w:sz="0" w:space="0" w:color="auto"/>
        <w:right w:val="none" w:sz="0" w:space="0" w:color="auto"/>
      </w:divBdr>
    </w:div>
    <w:div w:id="283583274">
      <w:bodyDiv w:val="1"/>
      <w:marLeft w:val="0"/>
      <w:marRight w:val="0"/>
      <w:marTop w:val="0"/>
      <w:marBottom w:val="0"/>
      <w:divBdr>
        <w:top w:val="none" w:sz="0" w:space="0" w:color="auto"/>
        <w:left w:val="none" w:sz="0" w:space="0" w:color="auto"/>
        <w:bottom w:val="none" w:sz="0" w:space="0" w:color="auto"/>
        <w:right w:val="none" w:sz="0" w:space="0" w:color="auto"/>
      </w:divBdr>
    </w:div>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362755456">
      <w:bodyDiv w:val="1"/>
      <w:marLeft w:val="0"/>
      <w:marRight w:val="0"/>
      <w:marTop w:val="0"/>
      <w:marBottom w:val="0"/>
      <w:divBdr>
        <w:top w:val="none" w:sz="0" w:space="0" w:color="auto"/>
        <w:left w:val="none" w:sz="0" w:space="0" w:color="auto"/>
        <w:bottom w:val="none" w:sz="0" w:space="0" w:color="auto"/>
        <w:right w:val="none" w:sz="0" w:space="0" w:color="auto"/>
      </w:divBdr>
    </w:div>
    <w:div w:id="679897556">
      <w:bodyDiv w:val="1"/>
      <w:marLeft w:val="0"/>
      <w:marRight w:val="0"/>
      <w:marTop w:val="0"/>
      <w:marBottom w:val="0"/>
      <w:divBdr>
        <w:top w:val="none" w:sz="0" w:space="0" w:color="auto"/>
        <w:left w:val="none" w:sz="0" w:space="0" w:color="auto"/>
        <w:bottom w:val="none" w:sz="0" w:space="0" w:color="auto"/>
        <w:right w:val="none" w:sz="0" w:space="0" w:color="auto"/>
      </w:divBdr>
    </w:div>
    <w:div w:id="767577348">
      <w:bodyDiv w:val="1"/>
      <w:marLeft w:val="0"/>
      <w:marRight w:val="0"/>
      <w:marTop w:val="0"/>
      <w:marBottom w:val="0"/>
      <w:divBdr>
        <w:top w:val="none" w:sz="0" w:space="0" w:color="auto"/>
        <w:left w:val="none" w:sz="0" w:space="0" w:color="auto"/>
        <w:bottom w:val="none" w:sz="0" w:space="0" w:color="auto"/>
        <w:right w:val="none" w:sz="0" w:space="0" w:color="auto"/>
      </w:divBdr>
    </w:div>
    <w:div w:id="791283982">
      <w:bodyDiv w:val="1"/>
      <w:marLeft w:val="0"/>
      <w:marRight w:val="0"/>
      <w:marTop w:val="0"/>
      <w:marBottom w:val="0"/>
      <w:divBdr>
        <w:top w:val="none" w:sz="0" w:space="0" w:color="auto"/>
        <w:left w:val="none" w:sz="0" w:space="0" w:color="auto"/>
        <w:bottom w:val="none" w:sz="0" w:space="0" w:color="auto"/>
        <w:right w:val="none" w:sz="0" w:space="0" w:color="auto"/>
      </w:divBdr>
    </w:div>
    <w:div w:id="906301779">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196653350">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543440887">
      <w:bodyDiv w:val="1"/>
      <w:marLeft w:val="0"/>
      <w:marRight w:val="0"/>
      <w:marTop w:val="0"/>
      <w:marBottom w:val="0"/>
      <w:divBdr>
        <w:top w:val="none" w:sz="0" w:space="0" w:color="auto"/>
        <w:left w:val="none" w:sz="0" w:space="0" w:color="auto"/>
        <w:bottom w:val="none" w:sz="0" w:space="0" w:color="auto"/>
        <w:right w:val="none" w:sz="0" w:space="0" w:color="auto"/>
      </w:divBdr>
    </w:div>
    <w:div w:id="1546523403">
      <w:bodyDiv w:val="1"/>
      <w:marLeft w:val="0"/>
      <w:marRight w:val="0"/>
      <w:marTop w:val="0"/>
      <w:marBottom w:val="0"/>
      <w:divBdr>
        <w:top w:val="none" w:sz="0" w:space="0" w:color="auto"/>
        <w:left w:val="none" w:sz="0" w:space="0" w:color="auto"/>
        <w:bottom w:val="none" w:sz="0" w:space="0" w:color="auto"/>
        <w:right w:val="none" w:sz="0" w:space="0" w:color="auto"/>
      </w:divBdr>
    </w:div>
    <w:div w:id="1725642550">
      <w:bodyDiv w:val="1"/>
      <w:marLeft w:val="0"/>
      <w:marRight w:val="0"/>
      <w:marTop w:val="0"/>
      <w:marBottom w:val="0"/>
      <w:divBdr>
        <w:top w:val="none" w:sz="0" w:space="0" w:color="auto"/>
        <w:left w:val="none" w:sz="0" w:space="0" w:color="auto"/>
        <w:bottom w:val="none" w:sz="0" w:space="0" w:color="auto"/>
        <w:right w:val="none" w:sz="0" w:space="0" w:color="auto"/>
      </w:divBdr>
      <w:divsChild>
        <w:div w:id="461970974">
          <w:marLeft w:val="0"/>
          <w:marRight w:val="0"/>
          <w:marTop w:val="0"/>
          <w:marBottom w:val="0"/>
          <w:divBdr>
            <w:top w:val="none" w:sz="0" w:space="0" w:color="auto"/>
            <w:left w:val="none" w:sz="0" w:space="0" w:color="auto"/>
            <w:bottom w:val="none" w:sz="0" w:space="0" w:color="auto"/>
            <w:right w:val="none" w:sz="0" w:space="0" w:color="auto"/>
          </w:divBdr>
          <w:divsChild>
            <w:div w:id="1845582608">
              <w:marLeft w:val="0"/>
              <w:marRight w:val="0"/>
              <w:marTop w:val="0"/>
              <w:marBottom w:val="0"/>
              <w:divBdr>
                <w:top w:val="none" w:sz="0" w:space="0" w:color="auto"/>
                <w:left w:val="none" w:sz="0" w:space="0" w:color="auto"/>
                <w:bottom w:val="none" w:sz="0" w:space="0" w:color="auto"/>
                <w:right w:val="none" w:sz="0" w:space="0" w:color="auto"/>
              </w:divBdr>
              <w:divsChild>
                <w:div w:id="658077010">
                  <w:marLeft w:val="0"/>
                  <w:marRight w:val="0"/>
                  <w:marTop w:val="0"/>
                  <w:marBottom w:val="0"/>
                  <w:divBdr>
                    <w:top w:val="none" w:sz="0" w:space="0" w:color="auto"/>
                    <w:left w:val="none" w:sz="0" w:space="0" w:color="auto"/>
                    <w:bottom w:val="none" w:sz="0" w:space="0" w:color="auto"/>
                    <w:right w:val="none" w:sz="0" w:space="0" w:color="auto"/>
                  </w:divBdr>
                  <w:divsChild>
                    <w:div w:id="11898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84303">
      <w:bodyDiv w:val="1"/>
      <w:marLeft w:val="0"/>
      <w:marRight w:val="0"/>
      <w:marTop w:val="0"/>
      <w:marBottom w:val="0"/>
      <w:divBdr>
        <w:top w:val="none" w:sz="0" w:space="0" w:color="auto"/>
        <w:left w:val="none" w:sz="0" w:space="0" w:color="auto"/>
        <w:bottom w:val="none" w:sz="0" w:space="0" w:color="auto"/>
        <w:right w:val="none" w:sz="0" w:space="0" w:color="auto"/>
      </w:divBdr>
      <w:divsChild>
        <w:div w:id="2137407365">
          <w:marLeft w:val="0"/>
          <w:marRight w:val="0"/>
          <w:marTop w:val="0"/>
          <w:marBottom w:val="0"/>
          <w:divBdr>
            <w:top w:val="none" w:sz="0" w:space="0" w:color="auto"/>
            <w:left w:val="none" w:sz="0" w:space="0" w:color="auto"/>
            <w:bottom w:val="none" w:sz="0" w:space="0" w:color="auto"/>
            <w:right w:val="none" w:sz="0" w:space="0" w:color="auto"/>
          </w:divBdr>
          <w:divsChild>
            <w:div w:id="1795518538">
              <w:marLeft w:val="0"/>
              <w:marRight w:val="0"/>
              <w:marTop w:val="0"/>
              <w:marBottom w:val="0"/>
              <w:divBdr>
                <w:top w:val="none" w:sz="0" w:space="0" w:color="auto"/>
                <w:left w:val="none" w:sz="0" w:space="0" w:color="auto"/>
                <w:bottom w:val="none" w:sz="0" w:space="0" w:color="auto"/>
                <w:right w:val="none" w:sz="0" w:space="0" w:color="auto"/>
              </w:divBdr>
              <w:divsChild>
                <w:div w:id="441415678">
                  <w:marLeft w:val="0"/>
                  <w:marRight w:val="0"/>
                  <w:marTop w:val="0"/>
                  <w:marBottom w:val="0"/>
                  <w:divBdr>
                    <w:top w:val="none" w:sz="0" w:space="0" w:color="auto"/>
                    <w:left w:val="none" w:sz="0" w:space="0" w:color="auto"/>
                    <w:bottom w:val="none" w:sz="0" w:space="0" w:color="auto"/>
                    <w:right w:val="none" w:sz="0" w:space="0" w:color="auto"/>
                  </w:divBdr>
                  <w:divsChild>
                    <w:div w:id="837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 w:id="209027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undergrad/before-you-apply/fees-finance/tuition-fe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ber.ac.uk/en/undergrad/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296C6-24CC-C347-9FDA-BA33A3E0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rachel.ogorman</dc:creator>
  <cp:lastModifiedBy>Suzy Shipman</cp:lastModifiedBy>
  <cp:revision>3</cp:revision>
  <cp:lastPrinted>2020-03-02T14:05:00Z</cp:lastPrinted>
  <dcterms:created xsi:type="dcterms:W3CDTF">2021-08-26T09:40:00Z</dcterms:created>
  <dcterms:modified xsi:type="dcterms:W3CDTF">2021-08-26T09:41:00Z</dcterms:modified>
</cp:coreProperties>
</file>