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2DFA" w14:textId="5750665A" w:rsidR="007C5075" w:rsidRDefault="007C5075" w:rsidP="007C5075">
      <w:pPr>
        <w:rPr>
          <w:noProof/>
        </w:rPr>
      </w:pPr>
      <w:r>
        <w:rPr>
          <w:noProof/>
        </w:rPr>
        <w:drawing>
          <wp:anchor distT="0" distB="0" distL="114300" distR="114300" simplePos="0" relativeHeight="251659264" behindDoc="0" locked="0" layoutInCell="1" allowOverlap="1" wp14:anchorId="04A6B05B" wp14:editId="1039002E">
            <wp:simplePos x="0" y="0"/>
            <wp:positionH relativeFrom="column">
              <wp:posOffset>-251460</wp:posOffset>
            </wp:positionH>
            <wp:positionV relativeFrom="paragraph">
              <wp:posOffset>-80126</wp:posOffset>
            </wp:positionV>
            <wp:extent cx="2152650" cy="419100"/>
            <wp:effectExtent l="0" t="0" r="0" b="0"/>
            <wp:wrapNone/>
            <wp:docPr id="1" name="Picture 1" descr="hefcw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fcw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E5D95" w14:textId="6BCB379A" w:rsidR="007C5075" w:rsidRDefault="007C5075" w:rsidP="007C5075">
      <w:pPr>
        <w:rPr>
          <w:noProof/>
        </w:rPr>
      </w:pPr>
    </w:p>
    <w:p w14:paraId="188AD2DC" w14:textId="77777777" w:rsidR="00ED4F26" w:rsidRPr="00343B5C" w:rsidRDefault="00ED4F26" w:rsidP="00ED4F26">
      <w:pPr>
        <w:ind w:left="0" w:firstLine="0"/>
        <w:rPr>
          <w:b/>
        </w:rPr>
      </w:pPr>
    </w:p>
    <w:tbl>
      <w:tblPr>
        <w:tblStyle w:val="TableGrid"/>
        <w:tblW w:w="15168" w:type="dxa"/>
        <w:tblInd w:w="-43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120"/>
        <w:gridCol w:w="997"/>
        <w:gridCol w:w="3002"/>
        <w:gridCol w:w="8049"/>
      </w:tblGrid>
      <w:tr w:rsidR="00343B5C" w:rsidRPr="00343B5C" w14:paraId="32129C3F" w14:textId="77777777" w:rsidTr="00B80B2B">
        <w:trPr>
          <w:trHeight w:val="19"/>
        </w:trPr>
        <w:tc>
          <w:tcPr>
            <w:tcW w:w="15168" w:type="dxa"/>
            <w:gridSpan w:val="4"/>
            <w:tcBorders>
              <w:top w:val="single" w:sz="4" w:space="0" w:color="auto"/>
              <w:left w:val="single" w:sz="4" w:space="0" w:color="auto"/>
              <w:bottom w:val="single" w:sz="4" w:space="0" w:color="auto"/>
              <w:right w:val="single" w:sz="4" w:space="0" w:color="auto"/>
            </w:tcBorders>
            <w:shd w:val="clear" w:color="auto" w:fill="C00000"/>
          </w:tcPr>
          <w:p w14:paraId="20C7F51A" w14:textId="77777777" w:rsidR="00ED4F26" w:rsidRPr="00343B5C" w:rsidRDefault="00ED4F26" w:rsidP="00B80B2B">
            <w:pPr>
              <w:pStyle w:val="Heading1"/>
              <w:spacing w:before="0"/>
              <w:jc w:val="center"/>
              <w:rPr>
                <w:rFonts w:cs="Arial"/>
                <w:b/>
                <w:color w:val="auto"/>
                <w:sz w:val="28"/>
                <w:szCs w:val="28"/>
              </w:rPr>
            </w:pPr>
            <w:r w:rsidRPr="00343B5C">
              <w:rPr>
                <w:rFonts w:ascii="Arial" w:hAnsi="Arial" w:cs="Arial"/>
                <w:b/>
                <w:color w:val="auto"/>
                <w:sz w:val="28"/>
                <w:szCs w:val="28"/>
              </w:rPr>
              <w:t>Fee and Access Plan</w:t>
            </w:r>
          </w:p>
        </w:tc>
      </w:tr>
      <w:tr w:rsidR="00343B5C" w:rsidRPr="00343B5C" w14:paraId="2C8C537F" w14:textId="77777777" w:rsidTr="00215C7B">
        <w:trPr>
          <w:trHeight w:val="297"/>
        </w:trPr>
        <w:tc>
          <w:tcPr>
            <w:tcW w:w="7119" w:type="dxa"/>
            <w:gridSpan w:val="3"/>
            <w:tcBorders>
              <w:top w:val="single" w:sz="4" w:space="0" w:color="auto"/>
              <w:left w:val="single" w:sz="4" w:space="0" w:color="auto"/>
              <w:bottom w:val="single" w:sz="4" w:space="0" w:color="auto"/>
              <w:right w:val="single" w:sz="4" w:space="0" w:color="auto"/>
            </w:tcBorders>
            <w:vAlign w:val="center"/>
          </w:tcPr>
          <w:p w14:paraId="0F00E067" w14:textId="77777777" w:rsidR="00ED4F26" w:rsidRPr="00343B5C" w:rsidRDefault="00ED4F26" w:rsidP="00215C7B">
            <w:pPr>
              <w:spacing w:after="120"/>
              <w:ind w:left="33" w:firstLine="0"/>
              <w:jc w:val="center"/>
            </w:pPr>
            <w:r w:rsidRPr="00343B5C">
              <w:t>Name of institution</w:t>
            </w:r>
          </w:p>
        </w:tc>
        <w:tc>
          <w:tcPr>
            <w:tcW w:w="8049" w:type="dxa"/>
            <w:tcBorders>
              <w:top w:val="single" w:sz="4" w:space="0" w:color="auto"/>
              <w:left w:val="single" w:sz="4" w:space="0" w:color="auto"/>
              <w:bottom w:val="single" w:sz="4" w:space="0" w:color="auto"/>
              <w:right w:val="single" w:sz="4" w:space="0" w:color="auto"/>
            </w:tcBorders>
          </w:tcPr>
          <w:p w14:paraId="2FAD75C8" w14:textId="7C1D8626" w:rsidR="00ED4F26" w:rsidRPr="00343B5C" w:rsidRDefault="007C5075" w:rsidP="00215C7B">
            <w:pPr>
              <w:spacing w:after="120"/>
              <w:ind w:left="33" w:firstLine="0"/>
            </w:pPr>
            <w:r>
              <w:t>Aberystwyth University</w:t>
            </w:r>
            <w:r w:rsidR="00ED4F26" w:rsidRPr="00343B5C">
              <w:t xml:space="preserve"> </w:t>
            </w:r>
          </w:p>
        </w:tc>
      </w:tr>
      <w:tr w:rsidR="00343B5C" w:rsidRPr="00343B5C" w14:paraId="0BDC9263" w14:textId="77777777" w:rsidTr="00215C7B">
        <w:trPr>
          <w:trHeight w:val="206"/>
        </w:trPr>
        <w:tc>
          <w:tcPr>
            <w:tcW w:w="7119" w:type="dxa"/>
            <w:gridSpan w:val="3"/>
            <w:tcBorders>
              <w:top w:val="single" w:sz="4" w:space="0" w:color="auto"/>
              <w:left w:val="single" w:sz="4" w:space="0" w:color="auto"/>
              <w:bottom w:val="single" w:sz="4" w:space="0" w:color="auto"/>
              <w:right w:val="single" w:sz="4" w:space="0" w:color="auto"/>
            </w:tcBorders>
            <w:vAlign w:val="center"/>
          </w:tcPr>
          <w:p w14:paraId="1E6C00D0" w14:textId="77777777" w:rsidR="00ED4F26" w:rsidRPr="00343B5C" w:rsidRDefault="00ED4F26" w:rsidP="00215C7B">
            <w:pPr>
              <w:spacing w:after="120"/>
              <w:ind w:left="33" w:firstLine="0"/>
              <w:jc w:val="center"/>
            </w:pPr>
            <w:r w:rsidRPr="00343B5C">
              <w:t>Duration of the fee and access plan</w:t>
            </w:r>
          </w:p>
        </w:tc>
        <w:tc>
          <w:tcPr>
            <w:tcW w:w="8049" w:type="dxa"/>
            <w:tcBorders>
              <w:top w:val="single" w:sz="4" w:space="0" w:color="auto"/>
              <w:left w:val="single" w:sz="4" w:space="0" w:color="auto"/>
              <w:bottom w:val="single" w:sz="4" w:space="0" w:color="auto"/>
              <w:right w:val="single" w:sz="4" w:space="0" w:color="auto"/>
            </w:tcBorders>
          </w:tcPr>
          <w:p w14:paraId="3067DE97" w14:textId="36552979" w:rsidR="007C5075" w:rsidRPr="00343B5C" w:rsidRDefault="00A014F0" w:rsidP="007C5075">
            <w:pPr>
              <w:tabs>
                <w:tab w:val="left" w:pos="1721"/>
              </w:tabs>
              <w:spacing w:after="120"/>
              <w:ind w:left="33" w:firstLine="0"/>
            </w:pPr>
            <w:r>
              <w:t>1 August 2022 to 31 July 2023 for 2022</w:t>
            </w:r>
            <w:r w:rsidR="00ED4F26" w:rsidRPr="00343B5C">
              <w:t>/2</w:t>
            </w:r>
            <w:r>
              <w:t>3</w:t>
            </w:r>
          </w:p>
          <w:p w14:paraId="1BD31515" w14:textId="41D7D661" w:rsidR="00ED4F26" w:rsidRPr="00343B5C" w:rsidRDefault="00ED4F26" w:rsidP="00C75774">
            <w:pPr>
              <w:tabs>
                <w:tab w:val="left" w:pos="1721"/>
              </w:tabs>
              <w:spacing w:after="120"/>
              <w:ind w:left="33" w:firstLine="0"/>
            </w:pPr>
          </w:p>
        </w:tc>
      </w:tr>
      <w:tr w:rsidR="00343B5C" w:rsidRPr="00343B5C" w14:paraId="1E595FA6" w14:textId="77777777" w:rsidTr="00215C7B">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88595" w14:textId="77777777" w:rsidR="0060478F" w:rsidRPr="00343B5C" w:rsidRDefault="00ED4F26" w:rsidP="0060478F">
            <w:pPr>
              <w:pStyle w:val="Heading2"/>
              <w:jc w:val="center"/>
              <w:rPr>
                <w:b/>
              </w:rPr>
            </w:pPr>
            <w:r w:rsidRPr="00343B5C">
              <w:rPr>
                <w:b/>
              </w:rPr>
              <w:t>Section 1 - Fee levels</w:t>
            </w:r>
          </w:p>
        </w:tc>
      </w:tr>
      <w:tr w:rsidR="00343B5C" w:rsidRPr="00343B5C" w14:paraId="3CEB81B0" w14:textId="77777777" w:rsidTr="00215C7B">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56F4C" w14:textId="57CD0D12" w:rsidR="0060478F" w:rsidRPr="007C5075" w:rsidRDefault="00ED4F26" w:rsidP="007C5075">
            <w:pPr>
              <w:pStyle w:val="Heading3"/>
              <w:jc w:val="center"/>
              <w:rPr>
                <w:rFonts w:ascii="Arial" w:hAnsi="Arial" w:cs="Arial"/>
                <w:color w:val="auto"/>
              </w:rPr>
            </w:pPr>
            <w:r w:rsidRPr="00343B5C">
              <w:rPr>
                <w:rFonts w:ascii="Arial" w:hAnsi="Arial" w:cs="Arial"/>
                <w:color w:val="auto"/>
              </w:rPr>
              <w:t>Section 1.1 – Fee levels or the determination of a fee level at each location</w:t>
            </w:r>
          </w:p>
        </w:tc>
      </w:tr>
      <w:tr w:rsidR="00343B5C" w:rsidRPr="00343B5C" w14:paraId="78B02DE6" w14:textId="77777777" w:rsidTr="00F6290D">
        <w:trPr>
          <w:trHeight w:val="18"/>
        </w:trPr>
        <w:tc>
          <w:tcPr>
            <w:tcW w:w="4117" w:type="dxa"/>
            <w:gridSpan w:val="2"/>
            <w:tcBorders>
              <w:top w:val="single" w:sz="4" w:space="0" w:color="auto"/>
              <w:left w:val="single" w:sz="4" w:space="0" w:color="auto"/>
              <w:bottom w:val="single" w:sz="4" w:space="0" w:color="auto"/>
              <w:right w:val="single" w:sz="4" w:space="0" w:color="auto"/>
            </w:tcBorders>
            <w:vAlign w:val="center"/>
          </w:tcPr>
          <w:p w14:paraId="31DB16ED" w14:textId="77777777" w:rsidR="00ED4F26" w:rsidRPr="00343B5C" w:rsidRDefault="00360339" w:rsidP="00B80B2B">
            <w:pPr>
              <w:ind w:left="34" w:firstLine="0"/>
              <w:jc w:val="center"/>
              <w:rPr>
                <w:b/>
              </w:rPr>
            </w:pPr>
            <w:r w:rsidRPr="00343B5C">
              <w:rPr>
                <w:b/>
              </w:rPr>
              <w:t>Fee level</w:t>
            </w:r>
          </w:p>
        </w:tc>
        <w:tc>
          <w:tcPr>
            <w:tcW w:w="11051" w:type="dxa"/>
            <w:gridSpan w:val="2"/>
            <w:tcBorders>
              <w:top w:val="single" w:sz="4" w:space="0" w:color="auto"/>
              <w:left w:val="single" w:sz="4" w:space="0" w:color="auto"/>
              <w:bottom w:val="single" w:sz="4" w:space="0" w:color="auto"/>
              <w:right w:val="single" w:sz="4" w:space="0" w:color="auto"/>
            </w:tcBorders>
            <w:vAlign w:val="center"/>
          </w:tcPr>
          <w:p w14:paraId="3D0B61B5" w14:textId="77777777" w:rsidR="00ED4F26" w:rsidRPr="00343B5C" w:rsidRDefault="00ED4F26" w:rsidP="00B80B2B">
            <w:pPr>
              <w:ind w:left="34" w:firstLine="0"/>
              <w:jc w:val="center"/>
              <w:rPr>
                <w:b/>
              </w:rPr>
            </w:pPr>
            <w:r w:rsidRPr="00343B5C">
              <w:rPr>
                <w:b/>
              </w:rPr>
              <w:t>Location of course</w:t>
            </w:r>
          </w:p>
        </w:tc>
      </w:tr>
      <w:tr w:rsidR="00B0763E" w:rsidRPr="00343B5C" w14:paraId="78E669D5" w14:textId="77777777" w:rsidTr="003454D7">
        <w:trPr>
          <w:trHeight w:val="18"/>
        </w:trPr>
        <w:tc>
          <w:tcPr>
            <w:tcW w:w="4117" w:type="dxa"/>
            <w:gridSpan w:val="2"/>
            <w:tcBorders>
              <w:top w:val="single" w:sz="4" w:space="0" w:color="auto"/>
              <w:left w:val="single" w:sz="4" w:space="0" w:color="auto"/>
              <w:bottom w:val="single" w:sz="4" w:space="0" w:color="auto"/>
              <w:right w:val="single" w:sz="4" w:space="0" w:color="auto"/>
            </w:tcBorders>
            <w:vAlign w:val="center"/>
          </w:tcPr>
          <w:p w14:paraId="716EEFE3" w14:textId="147A4B3C" w:rsidR="00B0763E" w:rsidRPr="00343B5C" w:rsidRDefault="00B0763E" w:rsidP="003454D7">
            <w:pPr>
              <w:ind w:left="34" w:firstLine="0"/>
              <w:jc w:val="center"/>
              <w:rPr>
                <w:b/>
              </w:rPr>
            </w:pPr>
            <w:r>
              <w:rPr>
                <w:b/>
              </w:rPr>
              <w:t xml:space="preserve">Maximum regulated fee </w:t>
            </w:r>
          </w:p>
        </w:tc>
        <w:tc>
          <w:tcPr>
            <w:tcW w:w="11051" w:type="dxa"/>
            <w:gridSpan w:val="2"/>
            <w:tcBorders>
              <w:top w:val="single" w:sz="4" w:space="0" w:color="auto"/>
              <w:left w:val="single" w:sz="4" w:space="0" w:color="auto"/>
              <w:bottom w:val="single" w:sz="4" w:space="0" w:color="auto"/>
              <w:right w:val="single" w:sz="4" w:space="0" w:color="auto"/>
            </w:tcBorders>
            <w:vAlign w:val="center"/>
          </w:tcPr>
          <w:p w14:paraId="5348CA1C" w14:textId="77777777" w:rsidR="005A39B5" w:rsidRDefault="005A39B5" w:rsidP="005A39B5">
            <w:pPr>
              <w:ind w:left="34" w:firstLine="0"/>
              <w:rPr>
                <w:sz w:val="22"/>
                <w:szCs w:val="22"/>
              </w:rPr>
            </w:pPr>
            <w:r w:rsidRPr="00693885">
              <w:rPr>
                <w:sz w:val="22"/>
                <w:szCs w:val="22"/>
              </w:rPr>
              <w:t xml:space="preserve">Aberystwyth </w:t>
            </w:r>
            <w:r>
              <w:rPr>
                <w:sz w:val="22"/>
                <w:szCs w:val="22"/>
              </w:rPr>
              <w:t xml:space="preserve">for </w:t>
            </w:r>
            <w:r w:rsidRPr="00693885">
              <w:rPr>
                <w:sz w:val="22"/>
                <w:szCs w:val="22"/>
              </w:rPr>
              <w:t>period 202</w:t>
            </w:r>
            <w:r>
              <w:rPr>
                <w:sz w:val="22"/>
                <w:szCs w:val="22"/>
              </w:rPr>
              <w:t>2</w:t>
            </w:r>
            <w:r w:rsidRPr="00693885">
              <w:rPr>
                <w:sz w:val="22"/>
                <w:szCs w:val="22"/>
              </w:rPr>
              <w:t>/2</w:t>
            </w:r>
            <w:r>
              <w:rPr>
                <w:sz w:val="22"/>
                <w:szCs w:val="22"/>
              </w:rPr>
              <w:t>3</w:t>
            </w:r>
            <w:r w:rsidRPr="00693885">
              <w:rPr>
                <w:sz w:val="22"/>
                <w:szCs w:val="22"/>
              </w:rPr>
              <w:t xml:space="preserve"> only</w:t>
            </w:r>
          </w:p>
          <w:p w14:paraId="2A7E6A1E" w14:textId="77777777" w:rsidR="005A39B5" w:rsidRDefault="005A39B5" w:rsidP="005A39B5">
            <w:pPr>
              <w:ind w:left="34" w:firstLine="0"/>
              <w:rPr>
                <w:sz w:val="22"/>
                <w:szCs w:val="22"/>
              </w:rPr>
            </w:pPr>
          </w:p>
          <w:p w14:paraId="4EB9C17C" w14:textId="77777777" w:rsidR="005A39B5" w:rsidRPr="005B268E" w:rsidRDefault="005A39B5" w:rsidP="005A39B5">
            <w:pPr>
              <w:pStyle w:val="ListParagraph"/>
              <w:numPr>
                <w:ilvl w:val="0"/>
                <w:numId w:val="36"/>
              </w:numPr>
              <w:rPr>
                <w:color w:val="000000" w:themeColor="text1"/>
                <w:sz w:val="22"/>
                <w:szCs w:val="22"/>
              </w:rPr>
            </w:pPr>
            <w:r w:rsidRPr="0071461C">
              <w:rPr>
                <w:sz w:val="22"/>
                <w:szCs w:val="22"/>
              </w:rPr>
              <w:t xml:space="preserve">Home </w:t>
            </w:r>
            <w:r w:rsidRPr="005B268E">
              <w:rPr>
                <w:color w:val="000000" w:themeColor="text1"/>
              </w:rPr>
              <w:t xml:space="preserve">(including Ireland, Channel Islands and the Isle of Man) </w:t>
            </w:r>
            <w:r w:rsidRPr="005B268E">
              <w:rPr>
                <w:color w:val="000000" w:themeColor="text1"/>
                <w:sz w:val="22"/>
                <w:szCs w:val="22"/>
              </w:rPr>
              <w:t xml:space="preserve">undergraduate </w:t>
            </w:r>
          </w:p>
          <w:p w14:paraId="4740A1EA" w14:textId="77777777" w:rsidR="005A39B5" w:rsidRPr="005B268E" w:rsidRDefault="005A39B5" w:rsidP="005A39B5">
            <w:pPr>
              <w:pStyle w:val="ListParagraph"/>
              <w:numPr>
                <w:ilvl w:val="0"/>
                <w:numId w:val="36"/>
              </w:numPr>
              <w:rPr>
                <w:color w:val="000000" w:themeColor="text1"/>
                <w:sz w:val="22"/>
                <w:szCs w:val="22"/>
              </w:rPr>
            </w:pPr>
            <w:r w:rsidRPr="005B268E">
              <w:rPr>
                <w:color w:val="000000" w:themeColor="text1"/>
                <w:sz w:val="22"/>
                <w:szCs w:val="22"/>
              </w:rPr>
              <w:t>Home Integrated master’s</w:t>
            </w:r>
          </w:p>
          <w:p w14:paraId="15906F1E" w14:textId="77777777" w:rsidR="005A39B5" w:rsidRPr="0071461C" w:rsidRDefault="005A39B5" w:rsidP="005A39B5">
            <w:pPr>
              <w:pStyle w:val="ListParagraph"/>
              <w:numPr>
                <w:ilvl w:val="0"/>
                <w:numId w:val="36"/>
              </w:numPr>
              <w:rPr>
                <w:b/>
              </w:rPr>
            </w:pPr>
            <w:r>
              <w:rPr>
                <w:sz w:val="22"/>
                <w:szCs w:val="22"/>
              </w:rPr>
              <w:t xml:space="preserve">Home </w:t>
            </w:r>
            <w:r w:rsidRPr="0071461C">
              <w:rPr>
                <w:sz w:val="22"/>
                <w:szCs w:val="22"/>
              </w:rPr>
              <w:t xml:space="preserve">PGCE </w:t>
            </w:r>
          </w:p>
          <w:p w14:paraId="610394F5" w14:textId="77777777" w:rsidR="005A39B5" w:rsidRDefault="005A39B5" w:rsidP="005A39B5">
            <w:pPr>
              <w:ind w:left="0" w:firstLine="0"/>
              <w:rPr>
                <w:rFonts w:cs="Arial"/>
                <w:color w:val="000000" w:themeColor="text1"/>
                <w:spacing w:val="-3"/>
                <w:sz w:val="22"/>
                <w:szCs w:val="22"/>
              </w:rPr>
            </w:pPr>
          </w:p>
          <w:p w14:paraId="38C501E4" w14:textId="61766AA5" w:rsidR="00B0763E" w:rsidRPr="00343B5C" w:rsidRDefault="005A39B5" w:rsidP="005A39B5">
            <w:pPr>
              <w:rPr>
                <w:b/>
              </w:rPr>
            </w:pPr>
            <w:r w:rsidRPr="0071461C">
              <w:rPr>
                <w:rFonts w:cs="Arial"/>
                <w:color w:val="000000" w:themeColor="text1"/>
                <w:spacing w:val="-3"/>
                <w:sz w:val="22"/>
                <w:szCs w:val="22"/>
              </w:rPr>
              <w:t>We will inform all applicants and students of the fee levels for</w:t>
            </w:r>
            <w:r w:rsidRPr="0071461C">
              <w:rPr>
                <w:rStyle w:val="apple-converted-space"/>
                <w:rFonts w:cs="Arial"/>
                <w:color w:val="000000" w:themeColor="text1"/>
                <w:spacing w:val="-3"/>
                <w:sz w:val="22"/>
                <w:szCs w:val="22"/>
              </w:rPr>
              <w:t> </w:t>
            </w:r>
            <w:r w:rsidRPr="0071461C">
              <w:rPr>
                <w:rFonts w:cs="Arial"/>
                <w:color w:val="000000" w:themeColor="text1"/>
                <w:spacing w:val="-3"/>
                <w:sz w:val="22"/>
                <w:szCs w:val="22"/>
              </w:rPr>
              <w:t>2022/23</w:t>
            </w:r>
            <w:r w:rsidRPr="0071461C">
              <w:rPr>
                <w:rStyle w:val="apple-converted-space"/>
                <w:rFonts w:cs="Arial"/>
                <w:color w:val="000000" w:themeColor="text1"/>
                <w:spacing w:val="-3"/>
                <w:sz w:val="22"/>
                <w:szCs w:val="22"/>
              </w:rPr>
              <w:t> </w:t>
            </w:r>
            <w:r w:rsidRPr="0071461C">
              <w:rPr>
                <w:rFonts w:cs="Arial"/>
                <w:color w:val="000000" w:themeColor="text1"/>
                <w:spacing w:val="-3"/>
                <w:sz w:val="22"/>
                <w:szCs w:val="22"/>
              </w:rPr>
              <w:t>and any inflation-linked increases for successive years of study as soon as confirmation is received from Welsh Government, and will publish updates on our website. Up to date details of the relevant fees will be set out in our offer documentation</w:t>
            </w:r>
            <w:r w:rsidRPr="0071461C">
              <w:rPr>
                <w:rFonts w:cs="Arial"/>
                <w:color w:val="4E4E4E"/>
                <w:spacing w:val="-3"/>
                <w:sz w:val="22"/>
                <w:szCs w:val="22"/>
              </w:rPr>
              <w:t>.</w:t>
            </w:r>
          </w:p>
        </w:tc>
      </w:tr>
      <w:tr w:rsidR="00B0763E" w:rsidRPr="00343B5C" w14:paraId="5957F56A" w14:textId="77777777" w:rsidTr="003454D7">
        <w:trPr>
          <w:trHeight w:val="18"/>
        </w:trPr>
        <w:tc>
          <w:tcPr>
            <w:tcW w:w="4117" w:type="dxa"/>
            <w:gridSpan w:val="2"/>
            <w:tcBorders>
              <w:top w:val="single" w:sz="4" w:space="0" w:color="auto"/>
              <w:left w:val="single" w:sz="4" w:space="0" w:color="auto"/>
              <w:bottom w:val="single" w:sz="4" w:space="0" w:color="auto"/>
              <w:right w:val="single" w:sz="4" w:space="0" w:color="auto"/>
            </w:tcBorders>
            <w:vAlign w:val="center"/>
          </w:tcPr>
          <w:p w14:paraId="3A7700B2" w14:textId="1DE74B6C" w:rsidR="00B0763E" w:rsidRDefault="005A39B5" w:rsidP="003454D7">
            <w:pPr>
              <w:ind w:left="34" w:firstLine="0"/>
              <w:jc w:val="center"/>
              <w:rPr>
                <w:b/>
              </w:rPr>
            </w:pPr>
            <w:r>
              <w:rPr>
                <w:b/>
              </w:rPr>
              <w:t>15% of the maximum regulated fee in line with HEFCW guidelines</w:t>
            </w:r>
          </w:p>
        </w:tc>
        <w:tc>
          <w:tcPr>
            <w:tcW w:w="11051" w:type="dxa"/>
            <w:gridSpan w:val="2"/>
            <w:tcBorders>
              <w:top w:val="single" w:sz="4" w:space="0" w:color="auto"/>
              <w:left w:val="single" w:sz="4" w:space="0" w:color="auto"/>
              <w:bottom w:val="single" w:sz="4" w:space="0" w:color="auto"/>
              <w:right w:val="single" w:sz="4" w:space="0" w:color="auto"/>
            </w:tcBorders>
            <w:vAlign w:val="center"/>
          </w:tcPr>
          <w:p w14:paraId="286AD553" w14:textId="77777777" w:rsidR="005A39B5" w:rsidRDefault="005A39B5" w:rsidP="005A39B5">
            <w:pPr>
              <w:ind w:left="34" w:firstLine="0"/>
              <w:rPr>
                <w:sz w:val="22"/>
                <w:szCs w:val="22"/>
              </w:rPr>
            </w:pPr>
            <w:r>
              <w:rPr>
                <w:sz w:val="22"/>
                <w:szCs w:val="22"/>
              </w:rPr>
              <w:t xml:space="preserve">Aberystwyth for </w:t>
            </w:r>
            <w:r w:rsidRPr="00693885">
              <w:rPr>
                <w:sz w:val="22"/>
                <w:szCs w:val="22"/>
              </w:rPr>
              <w:t>period 202</w:t>
            </w:r>
            <w:r>
              <w:rPr>
                <w:sz w:val="22"/>
                <w:szCs w:val="22"/>
              </w:rPr>
              <w:t>2</w:t>
            </w:r>
            <w:r w:rsidRPr="00693885">
              <w:rPr>
                <w:sz w:val="22"/>
                <w:szCs w:val="22"/>
              </w:rPr>
              <w:t>/2</w:t>
            </w:r>
            <w:r>
              <w:rPr>
                <w:sz w:val="22"/>
                <w:szCs w:val="22"/>
              </w:rPr>
              <w:t>3</w:t>
            </w:r>
            <w:r w:rsidRPr="00693885">
              <w:rPr>
                <w:sz w:val="22"/>
                <w:szCs w:val="22"/>
              </w:rPr>
              <w:t xml:space="preserve"> only</w:t>
            </w:r>
          </w:p>
          <w:p w14:paraId="258686F4" w14:textId="77777777" w:rsidR="005A39B5" w:rsidRDefault="005A39B5" w:rsidP="005A39B5">
            <w:pPr>
              <w:ind w:left="33" w:firstLine="0"/>
              <w:rPr>
                <w:sz w:val="22"/>
                <w:szCs w:val="22"/>
              </w:rPr>
            </w:pPr>
          </w:p>
          <w:p w14:paraId="34F40227" w14:textId="77777777" w:rsidR="005A39B5" w:rsidRDefault="005A39B5" w:rsidP="005A39B5">
            <w:pPr>
              <w:ind w:left="33" w:firstLine="0"/>
              <w:rPr>
                <w:sz w:val="22"/>
                <w:szCs w:val="22"/>
              </w:rPr>
            </w:pPr>
          </w:p>
          <w:p w14:paraId="10035EE6" w14:textId="77777777" w:rsidR="005A39B5" w:rsidRPr="0071461C" w:rsidRDefault="005A39B5" w:rsidP="005A39B5">
            <w:pPr>
              <w:pStyle w:val="ListParagraph"/>
              <w:numPr>
                <w:ilvl w:val="0"/>
                <w:numId w:val="37"/>
              </w:numPr>
              <w:rPr>
                <w:rFonts w:cs="Arial"/>
                <w:sz w:val="22"/>
                <w:szCs w:val="22"/>
              </w:rPr>
            </w:pPr>
            <w:r w:rsidRPr="0071461C">
              <w:rPr>
                <w:sz w:val="22"/>
                <w:szCs w:val="22"/>
              </w:rPr>
              <w:t xml:space="preserve">Integrated Study Year Abroad </w:t>
            </w:r>
          </w:p>
          <w:p w14:paraId="6C5C5107" w14:textId="77777777" w:rsidR="005A39B5" w:rsidRDefault="005A39B5" w:rsidP="005A39B5">
            <w:pPr>
              <w:tabs>
                <w:tab w:val="left" w:pos="2043"/>
              </w:tabs>
              <w:ind w:left="0" w:firstLine="0"/>
              <w:rPr>
                <w:sz w:val="22"/>
                <w:szCs w:val="22"/>
              </w:rPr>
            </w:pPr>
          </w:p>
          <w:p w14:paraId="2C9D7194" w14:textId="77777777" w:rsidR="005A39B5" w:rsidRPr="007F4BEE" w:rsidRDefault="005A39B5" w:rsidP="005A39B5">
            <w:pPr>
              <w:tabs>
                <w:tab w:val="left" w:pos="2043"/>
              </w:tabs>
              <w:ind w:left="0" w:firstLine="0"/>
              <w:rPr>
                <w:sz w:val="22"/>
                <w:szCs w:val="22"/>
              </w:rPr>
            </w:pPr>
            <w:r w:rsidRPr="005B7B08">
              <w:rPr>
                <w:rFonts w:cs="Arial"/>
                <w:color w:val="000000" w:themeColor="text1"/>
                <w:spacing w:val="-3"/>
                <w:sz w:val="22"/>
                <w:szCs w:val="22"/>
              </w:rPr>
              <w:t>We will inform all applicants and students of the fee levels for</w:t>
            </w:r>
            <w:r w:rsidRPr="005B7B08">
              <w:rPr>
                <w:rStyle w:val="apple-converted-space"/>
                <w:rFonts w:cs="Arial"/>
                <w:color w:val="000000" w:themeColor="text1"/>
                <w:spacing w:val="-3"/>
                <w:sz w:val="22"/>
                <w:szCs w:val="22"/>
              </w:rPr>
              <w:t> </w:t>
            </w:r>
            <w:r w:rsidRPr="005B7B08">
              <w:rPr>
                <w:rFonts w:cs="Arial"/>
                <w:color w:val="000000" w:themeColor="text1"/>
                <w:spacing w:val="-3"/>
                <w:sz w:val="22"/>
                <w:szCs w:val="22"/>
              </w:rPr>
              <w:t>202</w:t>
            </w:r>
            <w:r>
              <w:rPr>
                <w:rFonts w:cs="Arial"/>
                <w:color w:val="000000" w:themeColor="text1"/>
                <w:spacing w:val="-3"/>
                <w:sz w:val="22"/>
                <w:szCs w:val="22"/>
              </w:rPr>
              <w:t>2</w:t>
            </w:r>
            <w:r w:rsidRPr="005B7B08">
              <w:rPr>
                <w:rFonts w:cs="Arial"/>
                <w:color w:val="000000" w:themeColor="text1"/>
                <w:spacing w:val="-3"/>
                <w:sz w:val="22"/>
                <w:szCs w:val="22"/>
              </w:rPr>
              <w:t>/2</w:t>
            </w:r>
            <w:r>
              <w:rPr>
                <w:rFonts w:cs="Arial"/>
                <w:color w:val="000000" w:themeColor="text1"/>
                <w:spacing w:val="-3"/>
                <w:sz w:val="22"/>
                <w:szCs w:val="22"/>
              </w:rPr>
              <w:t>3</w:t>
            </w:r>
            <w:r w:rsidRPr="005B7B08">
              <w:rPr>
                <w:rStyle w:val="apple-converted-space"/>
                <w:rFonts w:cs="Arial"/>
                <w:color w:val="000000" w:themeColor="text1"/>
                <w:spacing w:val="-3"/>
                <w:sz w:val="22"/>
                <w:szCs w:val="22"/>
              </w:rPr>
              <w:t> </w:t>
            </w:r>
            <w:r w:rsidRPr="005B7B08">
              <w:rPr>
                <w:rFonts w:cs="Arial"/>
                <w:color w:val="000000" w:themeColor="text1"/>
                <w:spacing w:val="-3"/>
                <w:sz w:val="22"/>
                <w:szCs w:val="22"/>
              </w:rPr>
              <w:t>and any inflation-linked increases for successive years of study as soon as confirmation is received from Welsh Government, and will publish updates on our website</w:t>
            </w:r>
            <w:r w:rsidRPr="005B7B08">
              <w:rPr>
                <w:rFonts w:cs="Arial"/>
                <w:color w:val="4E4E4E"/>
                <w:spacing w:val="-3"/>
                <w:sz w:val="22"/>
                <w:szCs w:val="22"/>
              </w:rPr>
              <w:t>.</w:t>
            </w:r>
          </w:p>
          <w:p w14:paraId="1A6CC1EA" w14:textId="77777777" w:rsidR="00B0763E" w:rsidRPr="00A75380" w:rsidRDefault="00B0763E" w:rsidP="005A39B5">
            <w:pPr>
              <w:tabs>
                <w:tab w:val="left" w:pos="2043"/>
              </w:tabs>
              <w:ind w:left="0" w:firstLine="0"/>
            </w:pPr>
          </w:p>
        </w:tc>
      </w:tr>
      <w:tr w:rsidR="00B0763E" w:rsidRPr="00343B5C" w14:paraId="11FDD565" w14:textId="77777777" w:rsidTr="003454D7">
        <w:trPr>
          <w:trHeight w:val="18"/>
        </w:trPr>
        <w:tc>
          <w:tcPr>
            <w:tcW w:w="4117" w:type="dxa"/>
            <w:gridSpan w:val="2"/>
            <w:tcBorders>
              <w:top w:val="single" w:sz="4" w:space="0" w:color="auto"/>
              <w:left w:val="single" w:sz="4" w:space="0" w:color="auto"/>
              <w:bottom w:val="single" w:sz="4" w:space="0" w:color="auto"/>
              <w:right w:val="single" w:sz="4" w:space="0" w:color="auto"/>
            </w:tcBorders>
            <w:vAlign w:val="center"/>
          </w:tcPr>
          <w:p w14:paraId="7DD98202" w14:textId="77777777" w:rsidR="005A39B5" w:rsidRPr="0071461C" w:rsidRDefault="005A39B5" w:rsidP="005A39B5">
            <w:pPr>
              <w:ind w:left="34" w:firstLine="0"/>
              <w:jc w:val="center"/>
              <w:rPr>
                <w:rFonts w:cs="Arial"/>
                <w:b/>
                <w:bCs/>
                <w:szCs w:val="24"/>
              </w:rPr>
            </w:pPr>
            <w:r w:rsidRPr="0071461C">
              <w:rPr>
                <w:b/>
                <w:bCs/>
                <w:szCs w:val="24"/>
              </w:rPr>
              <w:lastRenderedPageBreak/>
              <w:t xml:space="preserve">20% of the maximum regulated fee, in line </w:t>
            </w:r>
            <w:r w:rsidRPr="0071461C">
              <w:rPr>
                <w:rFonts w:cs="Arial"/>
                <w:b/>
                <w:bCs/>
                <w:szCs w:val="24"/>
              </w:rPr>
              <w:t>with HEFCW guidelines.</w:t>
            </w:r>
          </w:p>
          <w:p w14:paraId="1E6ED853" w14:textId="3CE6D080" w:rsidR="00B0763E" w:rsidRDefault="00B0763E" w:rsidP="003454D7">
            <w:pPr>
              <w:ind w:left="34" w:firstLine="0"/>
              <w:jc w:val="center"/>
              <w:rPr>
                <w:b/>
              </w:rPr>
            </w:pPr>
          </w:p>
        </w:tc>
        <w:tc>
          <w:tcPr>
            <w:tcW w:w="11051" w:type="dxa"/>
            <w:gridSpan w:val="2"/>
            <w:tcBorders>
              <w:top w:val="single" w:sz="4" w:space="0" w:color="auto"/>
              <w:left w:val="single" w:sz="4" w:space="0" w:color="auto"/>
              <w:bottom w:val="single" w:sz="4" w:space="0" w:color="auto"/>
              <w:right w:val="single" w:sz="4" w:space="0" w:color="auto"/>
            </w:tcBorders>
            <w:vAlign w:val="center"/>
          </w:tcPr>
          <w:p w14:paraId="41F8193A" w14:textId="77777777" w:rsidR="005A39B5" w:rsidRDefault="005A39B5" w:rsidP="005A39B5">
            <w:pPr>
              <w:ind w:left="34" w:firstLine="0"/>
              <w:rPr>
                <w:sz w:val="22"/>
                <w:szCs w:val="22"/>
              </w:rPr>
            </w:pPr>
            <w:r>
              <w:rPr>
                <w:sz w:val="22"/>
                <w:szCs w:val="22"/>
              </w:rPr>
              <w:t xml:space="preserve">Aberystwyth for </w:t>
            </w:r>
            <w:r w:rsidRPr="00693885">
              <w:rPr>
                <w:sz w:val="22"/>
                <w:szCs w:val="22"/>
              </w:rPr>
              <w:t>period 202</w:t>
            </w:r>
            <w:r>
              <w:rPr>
                <w:sz w:val="22"/>
                <w:szCs w:val="22"/>
              </w:rPr>
              <w:t>2</w:t>
            </w:r>
            <w:r w:rsidRPr="00693885">
              <w:rPr>
                <w:sz w:val="22"/>
                <w:szCs w:val="22"/>
              </w:rPr>
              <w:t>/2</w:t>
            </w:r>
            <w:r>
              <w:rPr>
                <w:sz w:val="22"/>
                <w:szCs w:val="22"/>
              </w:rPr>
              <w:t>3</w:t>
            </w:r>
            <w:r w:rsidRPr="00693885">
              <w:rPr>
                <w:sz w:val="22"/>
                <w:szCs w:val="22"/>
              </w:rPr>
              <w:t xml:space="preserve"> only</w:t>
            </w:r>
          </w:p>
          <w:p w14:paraId="65EC9378" w14:textId="77777777" w:rsidR="005A39B5" w:rsidRDefault="005A39B5" w:rsidP="005A39B5">
            <w:pPr>
              <w:ind w:left="34" w:firstLine="0"/>
              <w:rPr>
                <w:sz w:val="22"/>
                <w:szCs w:val="22"/>
              </w:rPr>
            </w:pPr>
          </w:p>
          <w:p w14:paraId="3FE254C9" w14:textId="77777777" w:rsidR="005A39B5" w:rsidRDefault="005A39B5" w:rsidP="005A39B5">
            <w:pPr>
              <w:ind w:left="34" w:firstLine="0"/>
              <w:rPr>
                <w:sz w:val="22"/>
                <w:szCs w:val="22"/>
              </w:rPr>
            </w:pPr>
          </w:p>
          <w:p w14:paraId="68DB75F7" w14:textId="77777777" w:rsidR="005A39B5" w:rsidRPr="0071461C" w:rsidRDefault="005A39B5" w:rsidP="005A39B5">
            <w:pPr>
              <w:pStyle w:val="ListParagraph"/>
              <w:numPr>
                <w:ilvl w:val="0"/>
                <w:numId w:val="37"/>
              </w:numPr>
              <w:rPr>
                <w:sz w:val="22"/>
                <w:szCs w:val="22"/>
              </w:rPr>
            </w:pPr>
            <w:r w:rsidRPr="0071461C">
              <w:rPr>
                <w:sz w:val="22"/>
                <w:szCs w:val="22"/>
              </w:rPr>
              <w:t>Integrated year in industry</w:t>
            </w:r>
          </w:p>
          <w:p w14:paraId="4649617E" w14:textId="77777777" w:rsidR="005A39B5" w:rsidRPr="0071461C" w:rsidRDefault="005A39B5" w:rsidP="005A39B5">
            <w:pPr>
              <w:pStyle w:val="ListParagraph"/>
              <w:numPr>
                <w:ilvl w:val="0"/>
                <w:numId w:val="37"/>
              </w:numPr>
              <w:rPr>
                <w:sz w:val="22"/>
                <w:szCs w:val="22"/>
              </w:rPr>
            </w:pPr>
            <w:r w:rsidRPr="0071461C">
              <w:rPr>
                <w:sz w:val="22"/>
                <w:szCs w:val="22"/>
              </w:rPr>
              <w:t>Integrated year in professional practice</w:t>
            </w:r>
          </w:p>
          <w:p w14:paraId="082DF3AC" w14:textId="77777777" w:rsidR="005A39B5" w:rsidRDefault="005A39B5" w:rsidP="005A39B5">
            <w:pPr>
              <w:ind w:left="34" w:firstLine="0"/>
              <w:rPr>
                <w:color w:val="000000" w:themeColor="text1"/>
                <w:spacing w:val="-3"/>
                <w:sz w:val="22"/>
                <w:szCs w:val="22"/>
              </w:rPr>
            </w:pPr>
          </w:p>
          <w:p w14:paraId="1D6DA273" w14:textId="65E9B93E" w:rsidR="00ED60AD" w:rsidRPr="00A75380" w:rsidRDefault="005A39B5" w:rsidP="005A39B5">
            <w:pPr>
              <w:ind w:left="34" w:firstLine="0"/>
            </w:pPr>
            <w:r w:rsidRPr="005B7B08">
              <w:rPr>
                <w:rFonts w:cs="Arial"/>
                <w:color w:val="000000" w:themeColor="text1"/>
                <w:spacing w:val="-3"/>
                <w:sz w:val="22"/>
                <w:szCs w:val="22"/>
              </w:rPr>
              <w:t>We will inform all applicants and students of the fee levels for</w:t>
            </w:r>
            <w:r w:rsidRPr="005B7B08">
              <w:rPr>
                <w:rStyle w:val="apple-converted-space"/>
                <w:rFonts w:cs="Arial"/>
                <w:color w:val="000000" w:themeColor="text1"/>
                <w:spacing w:val="-3"/>
                <w:sz w:val="22"/>
                <w:szCs w:val="22"/>
              </w:rPr>
              <w:t> </w:t>
            </w:r>
            <w:r w:rsidRPr="005B7B08">
              <w:rPr>
                <w:rFonts w:cs="Arial"/>
                <w:color w:val="000000" w:themeColor="text1"/>
                <w:spacing w:val="-3"/>
                <w:sz w:val="22"/>
                <w:szCs w:val="22"/>
              </w:rPr>
              <w:t>202</w:t>
            </w:r>
            <w:r>
              <w:rPr>
                <w:rFonts w:cs="Arial"/>
                <w:color w:val="000000" w:themeColor="text1"/>
                <w:spacing w:val="-3"/>
                <w:sz w:val="22"/>
                <w:szCs w:val="22"/>
              </w:rPr>
              <w:t>2</w:t>
            </w:r>
            <w:r w:rsidRPr="005B7B08">
              <w:rPr>
                <w:rFonts w:cs="Arial"/>
                <w:color w:val="000000" w:themeColor="text1"/>
                <w:spacing w:val="-3"/>
                <w:sz w:val="22"/>
                <w:szCs w:val="22"/>
              </w:rPr>
              <w:t>/2</w:t>
            </w:r>
            <w:r>
              <w:rPr>
                <w:rFonts w:cs="Arial"/>
                <w:color w:val="000000" w:themeColor="text1"/>
                <w:spacing w:val="-3"/>
                <w:sz w:val="22"/>
                <w:szCs w:val="22"/>
              </w:rPr>
              <w:t>3</w:t>
            </w:r>
            <w:r w:rsidRPr="005B7B08">
              <w:rPr>
                <w:rStyle w:val="apple-converted-space"/>
                <w:rFonts w:cs="Arial"/>
                <w:color w:val="000000" w:themeColor="text1"/>
                <w:spacing w:val="-3"/>
                <w:sz w:val="22"/>
                <w:szCs w:val="22"/>
              </w:rPr>
              <w:t> </w:t>
            </w:r>
            <w:r w:rsidRPr="005B7B08">
              <w:rPr>
                <w:rFonts w:cs="Arial"/>
                <w:color w:val="000000" w:themeColor="text1"/>
                <w:spacing w:val="-3"/>
                <w:sz w:val="22"/>
                <w:szCs w:val="22"/>
              </w:rPr>
              <w:t>and any inflation-linked increases for successive years of study as soon as confirmation is received from Welsh Government, and will publish updates on our website</w:t>
            </w:r>
            <w:r w:rsidRPr="005B7B08">
              <w:rPr>
                <w:rFonts w:cs="Arial"/>
                <w:color w:val="4E4E4E"/>
                <w:spacing w:val="-3"/>
                <w:sz w:val="22"/>
                <w:szCs w:val="22"/>
              </w:rPr>
              <w:t>.</w:t>
            </w:r>
          </w:p>
        </w:tc>
      </w:tr>
      <w:tr w:rsidR="00B0763E" w:rsidRPr="00343B5C" w14:paraId="783AB2B7" w14:textId="77777777" w:rsidTr="003454D7">
        <w:trPr>
          <w:trHeight w:val="18"/>
        </w:trPr>
        <w:tc>
          <w:tcPr>
            <w:tcW w:w="4117" w:type="dxa"/>
            <w:gridSpan w:val="2"/>
            <w:tcBorders>
              <w:top w:val="single" w:sz="4" w:space="0" w:color="auto"/>
              <w:left w:val="single" w:sz="4" w:space="0" w:color="auto"/>
              <w:bottom w:val="single" w:sz="4" w:space="0" w:color="auto"/>
              <w:right w:val="single" w:sz="4" w:space="0" w:color="auto"/>
            </w:tcBorders>
            <w:vAlign w:val="center"/>
          </w:tcPr>
          <w:p w14:paraId="5FD72A87" w14:textId="77777777" w:rsidR="005A39B5" w:rsidRDefault="005A39B5" w:rsidP="005A39B5">
            <w:pPr>
              <w:ind w:left="34" w:firstLine="0"/>
              <w:jc w:val="center"/>
              <w:rPr>
                <w:b/>
              </w:rPr>
            </w:pPr>
            <w:r>
              <w:rPr>
                <w:b/>
              </w:rPr>
              <w:t>Fee specified in Franchise partner agreements</w:t>
            </w:r>
          </w:p>
          <w:p w14:paraId="51F03F55" w14:textId="318BEB85" w:rsidR="00B0763E" w:rsidRDefault="00B0763E" w:rsidP="003454D7">
            <w:pPr>
              <w:ind w:left="34" w:firstLine="0"/>
              <w:jc w:val="center"/>
              <w:rPr>
                <w:b/>
              </w:rPr>
            </w:pPr>
          </w:p>
        </w:tc>
        <w:tc>
          <w:tcPr>
            <w:tcW w:w="11051" w:type="dxa"/>
            <w:gridSpan w:val="2"/>
            <w:tcBorders>
              <w:top w:val="single" w:sz="4" w:space="0" w:color="auto"/>
              <w:left w:val="single" w:sz="4" w:space="0" w:color="auto"/>
              <w:bottom w:val="single" w:sz="4" w:space="0" w:color="auto"/>
              <w:right w:val="single" w:sz="4" w:space="0" w:color="auto"/>
            </w:tcBorders>
            <w:vAlign w:val="center"/>
          </w:tcPr>
          <w:p w14:paraId="3214221B" w14:textId="77777777" w:rsidR="005A39B5" w:rsidRDefault="005A39B5" w:rsidP="005A39B5">
            <w:pPr>
              <w:ind w:left="34" w:firstLine="0"/>
              <w:rPr>
                <w:sz w:val="22"/>
                <w:szCs w:val="22"/>
              </w:rPr>
            </w:pPr>
            <w:r w:rsidRPr="005B7B08">
              <w:rPr>
                <w:sz w:val="22"/>
                <w:szCs w:val="22"/>
              </w:rPr>
              <w:t xml:space="preserve">Fees for UG programmes offered by our Franchise Partners are determined in </w:t>
            </w:r>
            <w:r w:rsidRPr="009578A6">
              <w:rPr>
                <w:sz w:val="22"/>
                <w:szCs w:val="22"/>
              </w:rPr>
              <w:t>agreements with our franchise partners</w:t>
            </w:r>
            <w:r>
              <w:rPr>
                <w:sz w:val="22"/>
                <w:szCs w:val="22"/>
              </w:rPr>
              <w:t xml:space="preserve">.  </w:t>
            </w:r>
          </w:p>
          <w:p w14:paraId="496D213A" w14:textId="77777777" w:rsidR="005A39B5" w:rsidRDefault="005A39B5" w:rsidP="005A39B5">
            <w:pPr>
              <w:ind w:left="34" w:firstLine="0"/>
              <w:rPr>
                <w:sz w:val="22"/>
                <w:szCs w:val="22"/>
              </w:rPr>
            </w:pPr>
          </w:p>
          <w:p w14:paraId="7AA0897B" w14:textId="77777777" w:rsidR="005A39B5" w:rsidRDefault="005A39B5" w:rsidP="005A39B5">
            <w:pPr>
              <w:ind w:left="34" w:firstLine="0"/>
              <w:rPr>
                <w:sz w:val="22"/>
                <w:szCs w:val="22"/>
              </w:rPr>
            </w:pPr>
            <w:r>
              <w:rPr>
                <w:sz w:val="22"/>
                <w:szCs w:val="22"/>
              </w:rPr>
              <w:t>For courses subject to the regulated fee, these are subject to the increase limits on regulated fees set out by the Welsh Government.</w:t>
            </w:r>
            <w:r w:rsidRPr="009578A6">
              <w:rPr>
                <w:sz w:val="22"/>
                <w:szCs w:val="22"/>
              </w:rPr>
              <w:t xml:space="preserve"> Where these are offered at less than maximum they may be subject to annual review</w:t>
            </w:r>
            <w:r>
              <w:rPr>
                <w:sz w:val="22"/>
                <w:szCs w:val="22"/>
              </w:rPr>
              <w:t>.</w:t>
            </w:r>
          </w:p>
          <w:p w14:paraId="7BC72499" w14:textId="77777777" w:rsidR="005A39B5" w:rsidRDefault="005A39B5" w:rsidP="005A39B5">
            <w:pPr>
              <w:ind w:left="34" w:firstLine="0"/>
            </w:pPr>
          </w:p>
          <w:p w14:paraId="53D4372C" w14:textId="4EDBDC13" w:rsidR="00B0763E" w:rsidRDefault="00B0763E" w:rsidP="00997024">
            <w:pPr>
              <w:ind w:left="34" w:firstLine="0"/>
              <w:rPr>
                <w:sz w:val="22"/>
                <w:szCs w:val="22"/>
                <w:lang w:eastAsia="en-US"/>
              </w:rPr>
            </w:pPr>
          </w:p>
          <w:p w14:paraId="5F477DC4" w14:textId="77777777" w:rsidR="003C3C49" w:rsidRDefault="003C3C49" w:rsidP="00997024">
            <w:pPr>
              <w:ind w:left="34" w:firstLine="0"/>
            </w:pPr>
          </w:p>
          <w:p w14:paraId="08BA9033" w14:textId="32B1180A" w:rsidR="00A56D26" w:rsidRPr="00A75380" w:rsidRDefault="00A56D26" w:rsidP="005B268E"/>
        </w:tc>
      </w:tr>
      <w:tr w:rsidR="005A39B5" w:rsidRPr="00343B5C" w14:paraId="7835C8D3" w14:textId="77777777" w:rsidTr="00215C7B">
        <w:trPr>
          <w:trHeight w:val="118"/>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2AE4E" w14:textId="27B07361" w:rsidR="005A39B5" w:rsidRPr="007C5075" w:rsidRDefault="005A39B5" w:rsidP="007C5075">
            <w:pPr>
              <w:pStyle w:val="Heading3"/>
              <w:jc w:val="center"/>
              <w:rPr>
                <w:rFonts w:ascii="Arial" w:hAnsi="Arial" w:cs="Arial"/>
                <w:color w:val="auto"/>
              </w:rPr>
            </w:pPr>
            <w:r w:rsidRPr="00343B5C">
              <w:rPr>
                <w:rFonts w:ascii="Arial" w:hAnsi="Arial" w:cs="Arial"/>
                <w:color w:val="auto"/>
              </w:rPr>
              <w:t>Section 1.2 - Aggregate fee levels</w:t>
            </w:r>
          </w:p>
        </w:tc>
      </w:tr>
      <w:tr w:rsidR="005A39B5" w:rsidRPr="00343B5C" w14:paraId="5949860B" w14:textId="77777777" w:rsidTr="00F24866">
        <w:trPr>
          <w:trHeight w:val="1591"/>
        </w:trPr>
        <w:tc>
          <w:tcPr>
            <w:tcW w:w="15168" w:type="dxa"/>
            <w:gridSpan w:val="4"/>
            <w:tcBorders>
              <w:top w:val="single" w:sz="4" w:space="0" w:color="auto"/>
              <w:left w:val="single" w:sz="4" w:space="0" w:color="auto"/>
              <w:bottom w:val="single" w:sz="4" w:space="0" w:color="auto"/>
              <w:right w:val="single" w:sz="4" w:space="0" w:color="auto"/>
            </w:tcBorders>
            <w:vAlign w:val="center"/>
          </w:tcPr>
          <w:p w14:paraId="02CF73D4" w14:textId="11E59AF1" w:rsidR="005A39B5" w:rsidRPr="00693885" w:rsidRDefault="005A39B5" w:rsidP="005A39B5">
            <w:pPr>
              <w:ind w:left="319" w:firstLine="0"/>
              <w:rPr>
                <w:sz w:val="22"/>
                <w:szCs w:val="22"/>
              </w:rPr>
            </w:pPr>
            <w:r w:rsidRPr="00693885">
              <w:rPr>
                <w:sz w:val="22"/>
                <w:szCs w:val="22"/>
              </w:rPr>
              <w:t>Aberystwyth will charge the maximum</w:t>
            </w:r>
            <w:r>
              <w:rPr>
                <w:sz w:val="22"/>
                <w:szCs w:val="22"/>
              </w:rPr>
              <w:t xml:space="preserve"> regulated</w:t>
            </w:r>
            <w:r w:rsidRPr="00693885">
              <w:rPr>
                <w:sz w:val="22"/>
                <w:szCs w:val="22"/>
              </w:rPr>
              <w:t xml:space="preserve"> fee level for Full-time Home Undergraduate</w:t>
            </w:r>
            <w:r w:rsidR="00A17E1F">
              <w:rPr>
                <w:sz w:val="22"/>
                <w:szCs w:val="22"/>
              </w:rPr>
              <w:t>, Integrated Masters</w:t>
            </w:r>
            <w:r w:rsidRPr="00693885">
              <w:rPr>
                <w:sz w:val="22"/>
                <w:szCs w:val="22"/>
              </w:rPr>
              <w:t xml:space="preserve"> and PGCE students covered by this plan, which covers the period 202</w:t>
            </w:r>
            <w:r>
              <w:rPr>
                <w:sz w:val="22"/>
                <w:szCs w:val="22"/>
              </w:rPr>
              <w:t>2</w:t>
            </w:r>
            <w:r w:rsidRPr="00693885">
              <w:rPr>
                <w:sz w:val="22"/>
                <w:szCs w:val="22"/>
              </w:rPr>
              <w:t>/2</w:t>
            </w:r>
            <w:r>
              <w:rPr>
                <w:sz w:val="22"/>
                <w:szCs w:val="22"/>
              </w:rPr>
              <w:t>3</w:t>
            </w:r>
            <w:r w:rsidRPr="00693885">
              <w:rPr>
                <w:sz w:val="22"/>
                <w:szCs w:val="22"/>
              </w:rPr>
              <w:t xml:space="preserve"> only</w:t>
            </w:r>
            <w:r>
              <w:rPr>
                <w:sz w:val="22"/>
                <w:szCs w:val="22"/>
              </w:rPr>
              <w:t>.</w:t>
            </w:r>
            <w:r w:rsidRPr="00693885">
              <w:rPr>
                <w:sz w:val="22"/>
                <w:szCs w:val="22"/>
              </w:rPr>
              <w:t xml:space="preserve"> The maximum fee is governed by the Welsh Government, and is currently £9,000. Any increase in the FT Hom</w:t>
            </w:r>
            <w:r>
              <w:rPr>
                <w:sz w:val="22"/>
                <w:szCs w:val="22"/>
              </w:rPr>
              <w:t xml:space="preserve">e UG </w:t>
            </w:r>
            <w:r w:rsidRPr="00693885">
              <w:rPr>
                <w:sz w:val="22"/>
                <w:szCs w:val="22"/>
              </w:rPr>
              <w:t>and PGCE fee for future years of the course will be tied to the maximum fee rise, to be set by Welsh Government.  Aggregate fees for the whole duration of the course will depend on the length of the programme (most of our UG programmes are three or four years long), and whether or not the programme includes a Study Year Abroad (</w:t>
            </w:r>
            <w:r>
              <w:rPr>
                <w:sz w:val="22"/>
                <w:szCs w:val="22"/>
              </w:rPr>
              <w:t>charged at 15% of the maximum regulated fee</w:t>
            </w:r>
            <w:r w:rsidRPr="00693885">
              <w:rPr>
                <w:sz w:val="22"/>
                <w:szCs w:val="22"/>
              </w:rPr>
              <w:t>) or a Year in Industry</w:t>
            </w:r>
            <w:r>
              <w:rPr>
                <w:sz w:val="22"/>
                <w:szCs w:val="22"/>
              </w:rPr>
              <w:t>/professional practice</w:t>
            </w:r>
            <w:r w:rsidRPr="00693885">
              <w:rPr>
                <w:sz w:val="22"/>
                <w:szCs w:val="22"/>
              </w:rPr>
              <w:t xml:space="preserve"> (</w:t>
            </w:r>
            <w:r>
              <w:rPr>
                <w:sz w:val="22"/>
                <w:szCs w:val="22"/>
              </w:rPr>
              <w:t>charged at 20% of the maximum regulated fee</w:t>
            </w:r>
            <w:r w:rsidRPr="00693885">
              <w:rPr>
                <w:sz w:val="22"/>
                <w:szCs w:val="22"/>
              </w:rPr>
              <w:t xml:space="preserve">), and whether there are inflation-linked increases as outlined above. </w:t>
            </w:r>
          </w:p>
          <w:p w14:paraId="6B9B2CFB" w14:textId="77777777" w:rsidR="005A39B5" w:rsidRPr="00693885" w:rsidRDefault="005A39B5" w:rsidP="005A39B5">
            <w:pPr>
              <w:ind w:left="0" w:firstLine="0"/>
              <w:rPr>
                <w:sz w:val="22"/>
                <w:szCs w:val="22"/>
              </w:rPr>
            </w:pPr>
            <w:r w:rsidRPr="00693885">
              <w:rPr>
                <w:sz w:val="22"/>
                <w:szCs w:val="22"/>
              </w:rPr>
              <w:tab/>
            </w:r>
          </w:p>
          <w:p w14:paraId="67E57BAE" w14:textId="77777777" w:rsidR="005A39B5" w:rsidRPr="00693885" w:rsidRDefault="005A39B5" w:rsidP="005B268E">
            <w:pPr>
              <w:rPr>
                <w:sz w:val="22"/>
                <w:szCs w:val="22"/>
              </w:rPr>
            </w:pPr>
          </w:p>
          <w:p w14:paraId="69C6A903" w14:textId="77777777" w:rsidR="005A39B5" w:rsidRPr="00693885" w:rsidRDefault="005A39B5" w:rsidP="005A39B5">
            <w:pPr>
              <w:ind w:left="319" w:firstLine="0"/>
              <w:rPr>
                <w:rFonts w:cs="Arial"/>
                <w:sz w:val="22"/>
                <w:szCs w:val="22"/>
              </w:rPr>
            </w:pPr>
            <w:r w:rsidRPr="00693885">
              <w:rPr>
                <w:rFonts w:cs="Arial"/>
                <w:sz w:val="22"/>
                <w:szCs w:val="22"/>
              </w:rPr>
              <w:t xml:space="preserve">Information on fees may be found on the University’s website at </w:t>
            </w:r>
            <w:hyperlink r:id="rId9" w:history="1">
              <w:r w:rsidRPr="00693885">
                <w:rPr>
                  <w:rStyle w:val="Hyperlink"/>
                  <w:rFonts w:cs="Arial"/>
                  <w:sz w:val="22"/>
                  <w:szCs w:val="22"/>
                </w:rPr>
                <w:t>https://www.aber.ac.uk/en/undergrad/before-you-apply/fees-finance/tuition-fees/#</w:t>
              </w:r>
            </w:hyperlink>
          </w:p>
          <w:p w14:paraId="054EBA06" w14:textId="77777777" w:rsidR="005A39B5" w:rsidRPr="00693885" w:rsidRDefault="005A39B5" w:rsidP="005A39B5">
            <w:pPr>
              <w:ind w:left="319" w:firstLine="0"/>
              <w:rPr>
                <w:rFonts w:cs="Arial"/>
                <w:sz w:val="22"/>
                <w:szCs w:val="22"/>
                <w:lang w:eastAsia="en-US"/>
              </w:rPr>
            </w:pPr>
            <w:r w:rsidRPr="00693885">
              <w:rPr>
                <w:rStyle w:val="Hyperlink"/>
                <w:rFonts w:cs="Arial"/>
                <w:sz w:val="22"/>
                <w:szCs w:val="22"/>
              </w:rPr>
              <w:t xml:space="preserve">. Fee Terms and Conditions, including a section on fee increases, may be found at </w:t>
            </w:r>
            <w:r w:rsidRPr="00693885">
              <w:rPr>
                <w:rFonts w:cs="Arial"/>
                <w:color w:val="000000"/>
                <w:sz w:val="22"/>
                <w:szCs w:val="22"/>
              </w:rPr>
              <w:t> </w:t>
            </w:r>
            <w:hyperlink r:id="rId10" w:history="1">
              <w:r w:rsidRPr="00693885">
                <w:rPr>
                  <w:rStyle w:val="Hyperlink"/>
                  <w:rFonts w:cs="Arial"/>
                  <w:sz w:val="22"/>
                  <w:szCs w:val="22"/>
                </w:rPr>
                <w:t>https://www.aber.ac.uk/en/undergrad/terms-conditions/</w:t>
              </w:r>
            </w:hyperlink>
            <w:r w:rsidRPr="00693885">
              <w:rPr>
                <w:rFonts w:cs="Arial"/>
                <w:color w:val="000000"/>
                <w:sz w:val="22"/>
                <w:szCs w:val="22"/>
              </w:rPr>
              <w:t>)</w:t>
            </w:r>
          </w:p>
          <w:p w14:paraId="38433B2B" w14:textId="77777777" w:rsidR="005A39B5" w:rsidRPr="00693885" w:rsidRDefault="005A39B5" w:rsidP="005A39B5">
            <w:pPr>
              <w:ind w:left="319" w:firstLine="0"/>
              <w:rPr>
                <w:rFonts w:cs="Arial"/>
                <w:sz w:val="22"/>
                <w:szCs w:val="22"/>
              </w:rPr>
            </w:pPr>
            <w:r w:rsidRPr="00693885">
              <w:rPr>
                <w:rFonts w:cs="Arial"/>
                <w:sz w:val="22"/>
                <w:szCs w:val="22"/>
              </w:rPr>
              <w:t xml:space="preserve"> </w:t>
            </w:r>
          </w:p>
          <w:p w14:paraId="4CB7550D" w14:textId="2243C193" w:rsidR="00A17E1F" w:rsidRPr="00693885" w:rsidRDefault="00A17E1F" w:rsidP="00A17E1F">
            <w:pPr>
              <w:ind w:left="0" w:firstLine="0"/>
              <w:rPr>
                <w:rFonts w:cs="Arial"/>
                <w:sz w:val="22"/>
                <w:szCs w:val="22"/>
              </w:rPr>
            </w:pPr>
            <w:r>
              <w:rPr>
                <w:color w:val="000000" w:themeColor="text1"/>
                <w:sz w:val="22"/>
                <w:szCs w:val="22"/>
              </w:rPr>
              <w:t>Our Tuition Fee Policy may be found at</w:t>
            </w:r>
            <w:r w:rsidRPr="006060D9">
              <w:rPr>
                <w:rFonts w:cs="Arial"/>
                <w:color w:val="FF0000"/>
                <w:sz w:val="22"/>
                <w:szCs w:val="22"/>
              </w:rPr>
              <w:t xml:space="preserve">  </w:t>
            </w:r>
            <w:hyperlink r:id="rId11" w:history="1">
              <w:r w:rsidRPr="00D46598">
                <w:rPr>
                  <w:rStyle w:val="Hyperlink"/>
                  <w:rFonts w:cs="Arial"/>
                  <w:sz w:val="22"/>
                  <w:szCs w:val="22"/>
                </w:rPr>
                <w:t>https://www.aber.ac.uk/en/media/departmental/finance/pdf/1-42-AU-Revised-Tuition-Fee-Policy.pdf</w:t>
              </w:r>
            </w:hyperlink>
            <w:r>
              <w:rPr>
                <w:rFonts w:cs="Arial"/>
                <w:sz w:val="22"/>
                <w:szCs w:val="22"/>
              </w:rPr>
              <w:t xml:space="preserve"> </w:t>
            </w:r>
          </w:p>
          <w:p w14:paraId="0641A2F0" w14:textId="4542471B" w:rsidR="005A39B5" w:rsidRPr="00700E23" w:rsidRDefault="005A39B5" w:rsidP="005A39B5">
            <w:pPr>
              <w:ind w:left="319" w:firstLine="0"/>
              <w:rPr>
                <w:color w:val="000000" w:themeColor="text1"/>
                <w:sz w:val="22"/>
                <w:szCs w:val="22"/>
              </w:rPr>
            </w:pPr>
          </w:p>
          <w:p w14:paraId="1F147B26" w14:textId="77777777" w:rsidR="005A39B5" w:rsidRPr="00700E23" w:rsidRDefault="005A39B5" w:rsidP="005A39B5">
            <w:pPr>
              <w:ind w:left="319" w:firstLine="0"/>
              <w:rPr>
                <w:rFonts w:eastAsia="Times New Roman" w:cs="Arial"/>
                <w:color w:val="000000" w:themeColor="text1"/>
                <w:spacing w:val="-4"/>
                <w:sz w:val="22"/>
                <w:szCs w:val="22"/>
                <w:shd w:val="clear" w:color="auto" w:fill="FFFFFF"/>
                <w:lang w:val="en-US" w:eastAsia="en-US"/>
              </w:rPr>
            </w:pPr>
            <w:r w:rsidRPr="00700E23">
              <w:rPr>
                <w:rFonts w:eastAsia="Times New Roman" w:cs="Arial"/>
                <w:color w:val="000000" w:themeColor="text1"/>
                <w:spacing w:val="-4"/>
                <w:sz w:val="22"/>
                <w:szCs w:val="22"/>
                <w:shd w:val="clear" w:color="auto" w:fill="FFFFFF"/>
                <w:lang w:val="en-US" w:eastAsia="en-US"/>
              </w:rPr>
              <w:t>Tuition fees for Home Undergraduates are regulated by the Welsh Government. The University will amend all Home undergraduate Tuition Fees in line with any alteration advised by the Welsh Government. We comply with CMA guidelines in the development of all communications.</w:t>
            </w:r>
          </w:p>
          <w:p w14:paraId="6FC52FDA" w14:textId="77777777" w:rsidR="005A39B5" w:rsidRPr="00700E23" w:rsidRDefault="005A39B5" w:rsidP="005A39B5">
            <w:pPr>
              <w:ind w:left="320" w:firstLine="0"/>
              <w:rPr>
                <w:color w:val="000000" w:themeColor="text1"/>
                <w:sz w:val="22"/>
                <w:szCs w:val="22"/>
                <w:lang w:eastAsia="en-US"/>
              </w:rPr>
            </w:pPr>
          </w:p>
          <w:p w14:paraId="77DFA1A7" w14:textId="7AC9B03C" w:rsidR="005A39B5" w:rsidRPr="00343B5C" w:rsidRDefault="005A39B5" w:rsidP="005A39B5">
            <w:pPr>
              <w:spacing w:after="120"/>
              <w:ind w:left="0" w:firstLine="0"/>
            </w:pPr>
            <w:r w:rsidRPr="005B7B08">
              <w:rPr>
                <w:sz w:val="22"/>
                <w:szCs w:val="22"/>
                <w:lang w:eastAsia="en-US"/>
              </w:rPr>
              <w:lastRenderedPageBreak/>
              <w:t xml:space="preserve">Fees for UG programmes offered by our Franchise Partners are determined in agreements with our franchise partners. Where these are offered at less than maximum they may be subject to annual review, </w:t>
            </w:r>
            <w:r w:rsidRPr="005B7B08">
              <w:rPr>
                <w:rFonts w:eastAsia="Times New Roman" w:cs="Arial"/>
                <w:color w:val="000000" w:themeColor="text1"/>
                <w:sz w:val="22"/>
                <w:szCs w:val="22"/>
                <w:shd w:val="clear" w:color="auto" w:fill="FFFFFF"/>
              </w:rPr>
              <w:t>which could result in increases</w:t>
            </w:r>
            <w:r>
              <w:rPr>
                <w:rFonts w:eastAsia="Times New Roman" w:cs="Arial"/>
                <w:color w:val="000000" w:themeColor="text1"/>
                <w:sz w:val="22"/>
                <w:szCs w:val="22"/>
                <w:shd w:val="clear" w:color="auto" w:fill="FFFFFF"/>
              </w:rPr>
              <w:t>.</w:t>
            </w:r>
          </w:p>
        </w:tc>
      </w:tr>
      <w:tr w:rsidR="005A39B5" w:rsidRPr="00343B5C" w14:paraId="08151CFD" w14:textId="77777777" w:rsidTr="00215C7B">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3B8CA" w14:textId="7E35FEAE" w:rsidR="005A39B5" w:rsidRPr="007C5075" w:rsidRDefault="005A39B5" w:rsidP="007C5075">
            <w:pPr>
              <w:pStyle w:val="Heading2"/>
              <w:jc w:val="center"/>
              <w:rPr>
                <w:b/>
              </w:rPr>
            </w:pPr>
            <w:r w:rsidRPr="00343B5C">
              <w:rPr>
                <w:b/>
              </w:rPr>
              <w:lastRenderedPageBreak/>
              <w:t>Section 2 - Student Partnership</w:t>
            </w:r>
          </w:p>
        </w:tc>
      </w:tr>
      <w:tr w:rsidR="005A39B5" w:rsidRPr="00343B5C" w14:paraId="72066497" w14:textId="77777777" w:rsidTr="002703FC">
        <w:trPr>
          <w:trHeight w:val="4654"/>
        </w:trPr>
        <w:tc>
          <w:tcPr>
            <w:tcW w:w="15168" w:type="dxa"/>
            <w:gridSpan w:val="4"/>
            <w:tcBorders>
              <w:top w:val="single" w:sz="4" w:space="0" w:color="auto"/>
              <w:left w:val="single" w:sz="4" w:space="0" w:color="auto"/>
              <w:bottom w:val="single" w:sz="4" w:space="0" w:color="auto"/>
              <w:right w:val="single" w:sz="4" w:space="0" w:color="auto"/>
            </w:tcBorders>
            <w:vAlign w:val="center"/>
          </w:tcPr>
          <w:p w14:paraId="2130C932" w14:textId="77777777" w:rsidR="005A39B5" w:rsidRDefault="005A39B5" w:rsidP="005A39B5">
            <w:pPr>
              <w:spacing w:after="120"/>
              <w:ind w:left="0" w:firstLine="0"/>
              <w:rPr>
                <w:color w:val="FF0000"/>
              </w:rPr>
            </w:pPr>
          </w:p>
          <w:p w14:paraId="67A34A6B" w14:textId="77777777" w:rsidR="005A39B5" w:rsidRPr="00C1585B" w:rsidRDefault="005A39B5" w:rsidP="005A39B5">
            <w:pPr>
              <w:ind w:left="461" w:firstLine="0"/>
              <w:rPr>
                <w:color w:val="000000" w:themeColor="text1"/>
                <w:sz w:val="22"/>
                <w:szCs w:val="22"/>
              </w:rPr>
            </w:pPr>
            <w:r w:rsidRPr="00C1585B">
              <w:rPr>
                <w:color w:val="000000" w:themeColor="text1"/>
                <w:sz w:val="22"/>
                <w:szCs w:val="22"/>
              </w:rPr>
              <w:t xml:space="preserve">Aberystwyth University engages with its Students Union and the wider student body throughout the year in a wide range of ways, both formal and informal.  All students are </w:t>
            </w:r>
            <w:proofErr w:type="gramStart"/>
            <w:r w:rsidRPr="00C1585B">
              <w:rPr>
                <w:color w:val="000000" w:themeColor="text1"/>
                <w:sz w:val="22"/>
                <w:szCs w:val="22"/>
              </w:rPr>
              <w:t>encouraged  to</w:t>
            </w:r>
            <w:proofErr w:type="gramEnd"/>
            <w:r w:rsidRPr="00C1585B">
              <w:rPr>
                <w:color w:val="000000" w:themeColor="text1"/>
                <w:sz w:val="22"/>
                <w:szCs w:val="22"/>
              </w:rPr>
              <w:t xml:space="preserve"> feed</w:t>
            </w:r>
            <w:r>
              <w:rPr>
                <w:color w:val="000000" w:themeColor="text1"/>
                <w:sz w:val="22"/>
                <w:szCs w:val="22"/>
              </w:rPr>
              <w:t xml:space="preserve"> </w:t>
            </w:r>
            <w:r w:rsidRPr="00C1585B">
              <w:rPr>
                <w:color w:val="000000" w:themeColor="text1"/>
                <w:sz w:val="22"/>
                <w:szCs w:val="22"/>
              </w:rPr>
              <w:t xml:space="preserve">back on their experiences and contribute ideas and suggestions to help shape their education. Our Strategic Plan 2018-23 commits to ‘further improve the student experience in close partnership with the Students’ Union, putting the student voice at the heart of our activity.’  We uphold the core principle of the </w:t>
            </w:r>
            <w:r w:rsidRPr="00C1585B">
              <w:rPr>
                <w:i/>
                <w:color w:val="000000" w:themeColor="text1"/>
                <w:sz w:val="22"/>
                <w:szCs w:val="22"/>
              </w:rPr>
              <w:t>Wise Wales Statement on Partnership for Higher Education (2014</w:t>
            </w:r>
            <w:proofErr w:type="gramStart"/>
            <w:r w:rsidRPr="00C1585B">
              <w:rPr>
                <w:i/>
                <w:color w:val="000000" w:themeColor="text1"/>
                <w:sz w:val="22"/>
                <w:szCs w:val="22"/>
              </w:rPr>
              <w:t xml:space="preserve">) </w:t>
            </w:r>
            <w:r w:rsidRPr="00C1585B">
              <w:rPr>
                <w:color w:val="000000" w:themeColor="text1"/>
                <w:sz w:val="22"/>
                <w:szCs w:val="22"/>
              </w:rPr>
              <w:t xml:space="preserve"> that</w:t>
            </w:r>
            <w:proofErr w:type="gramEnd"/>
            <w:r w:rsidRPr="00C1585B">
              <w:rPr>
                <w:color w:val="000000" w:themeColor="text1"/>
                <w:sz w:val="22"/>
                <w:szCs w:val="22"/>
              </w:rPr>
              <w:t xml:space="preserve">  ‘</w:t>
            </w:r>
            <w:r w:rsidRPr="00C1585B">
              <w:rPr>
                <w:i/>
                <w:color w:val="000000" w:themeColor="text1"/>
                <w:sz w:val="22"/>
                <w:szCs w:val="22"/>
              </w:rPr>
              <w:t xml:space="preserve">students should be active participants in the learning process, rather than passive recipients of knowledge’.  </w:t>
            </w:r>
          </w:p>
          <w:p w14:paraId="7E6AE11B" w14:textId="77777777" w:rsidR="005A39B5" w:rsidRDefault="005A39B5" w:rsidP="005A39B5">
            <w:pPr>
              <w:ind w:left="461" w:firstLine="0"/>
              <w:rPr>
                <w:color w:val="000000" w:themeColor="text1"/>
                <w:sz w:val="22"/>
                <w:szCs w:val="22"/>
              </w:rPr>
            </w:pPr>
          </w:p>
          <w:p w14:paraId="654ABAC6" w14:textId="77777777" w:rsidR="005A39B5" w:rsidRPr="00801425" w:rsidRDefault="005A39B5" w:rsidP="005A39B5">
            <w:pPr>
              <w:ind w:left="461" w:firstLine="0"/>
              <w:rPr>
                <w:b/>
                <w:color w:val="000000" w:themeColor="text1"/>
                <w:sz w:val="22"/>
                <w:szCs w:val="22"/>
              </w:rPr>
            </w:pPr>
            <w:r w:rsidRPr="00801425">
              <w:rPr>
                <w:b/>
                <w:color w:val="000000" w:themeColor="text1"/>
                <w:sz w:val="22"/>
                <w:szCs w:val="22"/>
              </w:rPr>
              <w:t>The Student Charter</w:t>
            </w:r>
          </w:p>
          <w:p w14:paraId="7EEC2268" w14:textId="77777777" w:rsidR="005A39B5" w:rsidRPr="00C1585B" w:rsidRDefault="005A39B5" w:rsidP="005A39B5">
            <w:pPr>
              <w:ind w:left="461" w:firstLine="0"/>
              <w:rPr>
                <w:color w:val="000000" w:themeColor="text1"/>
                <w:sz w:val="22"/>
                <w:szCs w:val="22"/>
              </w:rPr>
            </w:pPr>
            <w:r w:rsidRPr="00C1585B">
              <w:rPr>
                <w:color w:val="000000" w:themeColor="text1"/>
                <w:sz w:val="22"/>
                <w:szCs w:val="22"/>
              </w:rPr>
              <w:t>The annually updated Student Charter</w:t>
            </w:r>
            <w:r w:rsidRPr="00C1585B">
              <w:rPr>
                <w:b/>
                <w:color w:val="000000" w:themeColor="text1"/>
                <w:sz w:val="22"/>
                <w:szCs w:val="22"/>
              </w:rPr>
              <w:t xml:space="preserve"> </w:t>
            </w:r>
            <w:r w:rsidRPr="00C1585B">
              <w:rPr>
                <w:color w:val="000000" w:themeColor="text1"/>
                <w:sz w:val="22"/>
                <w:szCs w:val="22"/>
              </w:rPr>
              <w:t xml:space="preserve">encapsulates the importance of effective student representation, with a commitment to involve student representatives as full partners in our committees and structures. </w:t>
            </w:r>
          </w:p>
          <w:p w14:paraId="43F0DFE0" w14:textId="77777777" w:rsidR="005A39B5" w:rsidRPr="00C1585B" w:rsidRDefault="005A39B5" w:rsidP="005A39B5">
            <w:pPr>
              <w:ind w:left="461" w:firstLine="0"/>
              <w:rPr>
                <w:color w:val="000000" w:themeColor="text1"/>
                <w:sz w:val="22"/>
                <w:szCs w:val="22"/>
              </w:rPr>
            </w:pPr>
          </w:p>
          <w:p w14:paraId="0AC96407" w14:textId="77777777" w:rsidR="005A39B5" w:rsidRPr="00C1585B" w:rsidRDefault="005A39B5" w:rsidP="005A39B5">
            <w:pPr>
              <w:ind w:left="461" w:firstLine="0"/>
              <w:rPr>
                <w:color w:val="000000" w:themeColor="text1"/>
                <w:sz w:val="22"/>
                <w:szCs w:val="22"/>
              </w:rPr>
            </w:pPr>
            <w:r w:rsidRPr="00C1585B">
              <w:rPr>
                <w:color w:val="000000" w:themeColor="text1"/>
                <w:sz w:val="22"/>
                <w:szCs w:val="22"/>
              </w:rPr>
              <w:t>https://www.aber.ac.uk/en/student/charter/</w:t>
            </w:r>
          </w:p>
          <w:p w14:paraId="6B0F173D" w14:textId="77777777" w:rsidR="005A39B5" w:rsidRPr="00C1585B" w:rsidRDefault="005A39B5" w:rsidP="005A39B5">
            <w:pPr>
              <w:ind w:left="461" w:firstLine="0"/>
              <w:rPr>
                <w:color w:val="000000" w:themeColor="text1"/>
                <w:sz w:val="22"/>
                <w:szCs w:val="22"/>
              </w:rPr>
            </w:pPr>
          </w:p>
          <w:p w14:paraId="3CFB6FEE" w14:textId="77777777" w:rsidR="005A39B5" w:rsidRPr="00C1585B" w:rsidRDefault="005A39B5" w:rsidP="005A39B5">
            <w:pPr>
              <w:ind w:left="461" w:firstLine="0"/>
              <w:rPr>
                <w:color w:val="000000" w:themeColor="text1"/>
                <w:sz w:val="22"/>
                <w:szCs w:val="22"/>
              </w:rPr>
            </w:pPr>
            <w:r w:rsidRPr="00C1585B">
              <w:rPr>
                <w:color w:val="000000" w:themeColor="text1"/>
                <w:sz w:val="22"/>
                <w:szCs w:val="22"/>
              </w:rPr>
              <w:t>Additionally, the Students</w:t>
            </w:r>
            <w:r>
              <w:rPr>
                <w:color w:val="000000" w:themeColor="text1"/>
                <w:sz w:val="22"/>
                <w:szCs w:val="22"/>
              </w:rPr>
              <w:t>’</w:t>
            </w:r>
            <w:r w:rsidRPr="00C1585B">
              <w:rPr>
                <w:color w:val="000000" w:themeColor="text1"/>
                <w:sz w:val="22"/>
                <w:szCs w:val="22"/>
              </w:rPr>
              <w:t xml:space="preserve"> Union and University sign a Relationship Agreement, based on ten agreed principles. Principle 4 states that ‘AU recognises that </w:t>
            </w:r>
            <w:proofErr w:type="spellStart"/>
            <w:r w:rsidRPr="00C1585B">
              <w:rPr>
                <w:color w:val="000000" w:themeColor="text1"/>
                <w:sz w:val="22"/>
                <w:szCs w:val="22"/>
              </w:rPr>
              <w:t>AberSU</w:t>
            </w:r>
            <w:proofErr w:type="spellEnd"/>
            <w:r w:rsidRPr="00C1585B">
              <w:rPr>
                <w:color w:val="000000" w:themeColor="text1"/>
                <w:sz w:val="22"/>
                <w:szCs w:val="22"/>
              </w:rPr>
              <w:t xml:space="preserve"> is the primary voice of students and will ensure that </w:t>
            </w:r>
            <w:proofErr w:type="spellStart"/>
            <w:r w:rsidRPr="00C1585B">
              <w:rPr>
                <w:color w:val="000000" w:themeColor="text1"/>
                <w:sz w:val="22"/>
                <w:szCs w:val="22"/>
              </w:rPr>
              <w:t>AberSU</w:t>
            </w:r>
            <w:proofErr w:type="spellEnd"/>
            <w:r w:rsidRPr="00C1585B">
              <w:rPr>
                <w:color w:val="000000" w:themeColor="text1"/>
                <w:sz w:val="22"/>
                <w:szCs w:val="22"/>
              </w:rPr>
              <w:t xml:space="preserve"> is consulted in a timely fashion before decisions are taken with impact on </w:t>
            </w:r>
            <w:proofErr w:type="gramStart"/>
            <w:r w:rsidRPr="00C1585B">
              <w:rPr>
                <w:color w:val="000000" w:themeColor="text1"/>
                <w:sz w:val="22"/>
                <w:szCs w:val="22"/>
              </w:rPr>
              <w:t>students’</w:t>
            </w:r>
            <w:proofErr w:type="gramEnd"/>
            <w:r w:rsidRPr="00C1585B">
              <w:rPr>
                <w:color w:val="000000" w:themeColor="text1"/>
                <w:sz w:val="22"/>
                <w:szCs w:val="22"/>
              </w:rPr>
              <w:t xml:space="preserve">. Embedding the student voice within our governance processes is a way to ensure that </w:t>
            </w:r>
            <w:r>
              <w:rPr>
                <w:color w:val="000000" w:themeColor="text1"/>
                <w:sz w:val="22"/>
                <w:szCs w:val="22"/>
              </w:rPr>
              <w:t>the University adheres to this</w:t>
            </w:r>
            <w:r w:rsidRPr="00C1585B">
              <w:rPr>
                <w:color w:val="000000" w:themeColor="text1"/>
                <w:sz w:val="22"/>
                <w:szCs w:val="22"/>
              </w:rPr>
              <w:t xml:space="preserve"> principle. </w:t>
            </w:r>
          </w:p>
          <w:p w14:paraId="1501BF2D" w14:textId="77777777" w:rsidR="005A39B5" w:rsidRPr="00C1585B" w:rsidRDefault="005A39B5" w:rsidP="005A39B5">
            <w:pPr>
              <w:ind w:left="461" w:firstLine="0"/>
              <w:rPr>
                <w:color w:val="000000" w:themeColor="text1"/>
                <w:sz w:val="22"/>
                <w:szCs w:val="22"/>
              </w:rPr>
            </w:pPr>
          </w:p>
          <w:p w14:paraId="7F0FE049" w14:textId="77777777" w:rsidR="005A39B5" w:rsidRDefault="00E416E9" w:rsidP="005A39B5">
            <w:pPr>
              <w:ind w:left="461" w:firstLine="0"/>
              <w:rPr>
                <w:color w:val="000000" w:themeColor="text1"/>
                <w:sz w:val="22"/>
                <w:szCs w:val="22"/>
              </w:rPr>
            </w:pPr>
            <w:hyperlink r:id="rId12" w:history="1">
              <w:r w:rsidR="005A39B5" w:rsidRPr="0003070C">
                <w:rPr>
                  <w:rStyle w:val="Hyperlink"/>
                  <w:sz w:val="22"/>
                  <w:szCs w:val="22"/>
                </w:rPr>
                <w:t>https://www.aber.ac.uk/en/media/departmental/governance/studentsunion/2018-08-01---Relationship-Agreement-1.pdf</w:t>
              </w:r>
            </w:hyperlink>
          </w:p>
          <w:p w14:paraId="1F1C408A" w14:textId="77777777" w:rsidR="005A39B5" w:rsidRPr="00C1585B" w:rsidRDefault="005A39B5" w:rsidP="005A39B5">
            <w:pPr>
              <w:ind w:left="461" w:firstLine="0"/>
              <w:rPr>
                <w:color w:val="000000" w:themeColor="text1"/>
                <w:sz w:val="22"/>
                <w:szCs w:val="22"/>
              </w:rPr>
            </w:pPr>
          </w:p>
          <w:p w14:paraId="19E4B6E4" w14:textId="7CB206C6" w:rsidR="005A39B5" w:rsidRDefault="005A39B5" w:rsidP="005A39B5">
            <w:pPr>
              <w:pStyle w:val="ListParagraph"/>
              <w:ind w:left="461" w:firstLine="0"/>
              <w:rPr>
                <w:color w:val="000000" w:themeColor="text1"/>
                <w:sz w:val="22"/>
                <w:szCs w:val="22"/>
              </w:rPr>
            </w:pPr>
          </w:p>
          <w:p w14:paraId="54BAD556" w14:textId="77777777" w:rsidR="00E8082E" w:rsidRPr="00C1585B" w:rsidRDefault="00E8082E" w:rsidP="005A39B5">
            <w:pPr>
              <w:pStyle w:val="ListParagraph"/>
              <w:ind w:left="461" w:firstLine="0"/>
              <w:rPr>
                <w:color w:val="000000" w:themeColor="text1"/>
                <w:sz w:val="22"/>
                <w:szCs w:val="22"/>
              </w:rPr>
            </w:pPr>
          </w:p>
          <w:p w14:paraId="76490A9D" w14:textId="77777777" w:rsidR="005A39B5" w:rsidRPr="00C1585B" w:rsidRDefault="005A39B5" w:rsidP="005A39B5">
            <w:pPr>
              <w:pStyle w:val="Heading2"/>
              <w:ind w:left="461"/>
              <w:rPr>
                <w:rFonts w:cs="Arial"/>
                <w:b/>
                <w:sz w:val="22"/>
                <w:szCs w:val="22"/>
              </w:rPr>
            </w:pPr>
            <w:bookmarkStart w:id="0" w:name="_Toc3888572"/>
            <w:bookmarkStart w:id="1" w:name="_Toc34053203"/>
            <w:bookmarkStart w:id="2" w:name="_Toc65494178"/>
            <w:r>
              <w:rPr>
                <w:rFonts w:cs="Arial"/>
                <w:b/>
                <w:sz w:val="22"/>
                <w:szCs w:val="22"/>
              </w:rPr>
              <w:t>T</w:t>
            </w:r>
            <w:r w:rsidRPr="00C1585B">
              <w:rPr>
                <w:rFonts w:cs="Arial"/>
                <w:b/>
                <w:sz w:val="22"/>
                <w:szCs w:val="22"/>
              </w:rPr>
              <w:t>he Student Voice in Quality Assurance, Quality Enhancement and Governance</w:t>
            </w:r>
            <w:bookmarkEnd w:id="0"/>
            <w:bookmarkEnd w:id="1"/>
            <w:bookmarkEnd w:id="2"/>
            <w:r w:rsidRPr="00C1585B">
              <w:rPr>
                <w:rFonts w:cs="Arial"/>
                <w:b/>
                <w:sz w:val="22"/>
                <w:szCs w:val="22"/>
              </w:rPr>
              <w:t xml:space="preserve"> </w:t>
            </w:r>
          </w:p>
          <w:p w14:paraId="6B29154E" w14:textId="77777777" w:rsidR="005A39B5" w:rsidRPr="00C1585B" w:rsidRDefault="005A39B5" w:rsidP="005A39B5">
            <w:pPr>
              <w:rPr>
                <w:sz w:val="22"/>
                <w:szCs w:val="22"/>
              </w:rPr>
            </w:pPr>
          </w:p>
          <w:p w14:paraId="22233D4F" w14:textId="77777777" w:rsidR="005A39B5" w:rsidRPr="00C1585B" w:rsidRDefault="005A39B5" w:rsidP="005A39B5">
            <w:pPr>
              <w:ind w:left="461" w:firstLine="0"/>
              <w:rPr>
                <w:b/>
                <w:color w:val="000000" w:themeColor="text1"/>
                <w:sz w:val="22"/>
                <w:szCs w:val="22"/>
              </w:rPr>
            </w:pPr>
            <w:r w:rsidRPr="00C1585B">
              <w:rPr>
                <w:color w:val="000000" w:themeColor="text1"/>
                <w:sz w:val="22"/>
                <w:szCs w:val="22"/>
              </w:rPr>
              <w:t xml:space="preserve">At the highest level, regular meetings between the University Executive officers and Students’ Union officers take place. These provide opportunities for the Students’ Union to ensure that the student voice is being </w:t>
            </w:r>
            <w:r>
              <w:rPr>
                <w:color w:val="000000" w:themeColor="text1"/>
                <w:sz w:val="22"/>
                <w:szCs w:val="22"/>
              </w:rPr>
              <w:t>heard</w:t>
            </w:r>
            <w:r w:rsidRPr="00C1585B">
              <w:rPr>
                <w:color w:val="000000" w:themeColor="text1"/>
                <w:sz w:val="22"/>
                <w:szCs w:val="22"/>
              </w:rPr>
              <w:t xml:space="preserve"> by senior management and ensure that there is close collaborative working on issues which contribute to student success. As well as these meetings of the two executives, there are informal frequent meetings between the Vice-Chancellor and the Students’ Union president. </w:t>
            </w:r>
          </w:p>
          <w:p w14:paraId="3CF3CFCC" w14:textId="77777777" w:rsidR="005A39B5" w:rsidRPr="00C1585B" w:rsidRDefault="005A39B5" w:rsidP="005A39B5">
            <w:pPr>
              <w:ind w:left="461" w:firstLine="0"/>
              <w:rPr>
                <w:color w:val="000000" w:themeColor="text1"/>
                <w:sz w:val="22"/>
                <w:szCs w:val="22"/>
              </w:rPr>
            </w:pPr>
          </w:p>
          <w:p w14:paraId="7077A59D" w14:textId="77777777" w:rsidR="005A39B5" w:rsidRPr="00C1585B" w:rsidRDefault="005A39B5" w:rsidP="005A39B5">
            <w:pPr>
              <w:ind w:left="461" w:firstLine="0"/>
              <w:rPr>
                <w:color w:val="000000" w:themeColor="text1"/>
                <w:sz w:val="22"/>
                <w:szCs w:val="22"/>
              </w:rPr>
            </w:pPr>
            <w:r w:rsidRPr="00C1585B">
              <w:rPr>
                <w:color w:val="000000" w:themeColor="text1"/>
                <w:sz w:val="22"/>
                <w:szCs w:val="22"/>
              </w:rPr>
              <w:lastRenderedPageBreak/>
              <w:t>Within the University’s formal structure there are student representatives appointed by the Students’ Union on most of our major committees, including:</w:t>
            </w:r>
          </w:p>
          <w:p w14:paraId="39197671" w14:textId="77777777" w:rsidR="005A39B5" w:rsidRPr="00C1585B" w:rsidRDefault="005A39B5" w:rsidP="005A39B5">
            <w:pPr>
              <w:ind w:left="0" w:firstLine="0"/>
              <w:rPr>
                <w:color w:val="000000" w:themeColor="text1"/>
                <w:sz w:val="22"/>
                <w:szCs w:val="22"/>
              </w:rPr>
            </w:pPr>
          </w:p>
          <w:p w14:paraId="20E19103" w14:textId="77777777" w:rsidR="005A39B5" w:rsidRPr="00C1585B" w:rsidRDefault="005A39B5" w:rsidP="005A39B5">
            <w:pPr>
              <w:pStyle w:val="ListParagraph"/>
              <w:numPr>
                <w:ilvl w:val="0"/>
                <w:numId w:val="31"/>
              </w:numPr>
              <w:ind w:left="1028" w:hanging="425"/>
              <w:rPr>
                <w:color w:val="000000" w:themeColor="text1"/>
                <w:sz w:val="22"/>
                <w:szCs w:val="22"/>
              </w:rPr>
            </w:pPr>
            <w:r w:rsidRPr="00C1585B">
              <w:rPr>
                <w:color w:val="000000" w:themeColor="text1"/>
                <w:sz w:val="22"/>
                <w:szCs w:val="22"/>
              </w:rPr>
              <w:t xml:space="preserve">Council and its sub-committees, </w:t>
            </w:r>
          </w:p>
          <w:p w14:paraId="0884F044" w14:textId="77777777" w:rsidR="005A39B5" w:rsidRPr="00C1585B" w:rsidRDefault="005A39B5" w:rsidP="005A39B5">
            <w:pPr>
              <w:pStyle w:val="ListParagraph"/>
              <w:numPr>
                <w:ilvl w:val="0"/>
                <w:numId w:val="31"/>
              </w:numPr>
              <w:ind w:left="1028" w:hanging="425"/>
              <w:rPr>
                <w:color w:val="000000" w:themeColor="text1"/>
                <w:sz w:val="22"/>
                <w:szCs w:val="22"/>
              </w:rPr>
            </w:pPr>
            <w:r w:rsidRPr="00C1585B">
              <w:rPr>
                <w:color w:val="000000" w:themeColor="text1"/>
                <w:sz w:val="22"/>
                <w:szCs w:val="22"/>
              </w:rPr>
              <w:t>Senate (which is the main body responsible for Learning and Teaching Strategy)</w:t>
            </w:r>
          </w:p>
          <w:p w14:paraId="6F0221D0" w14:textId="77777777" w:rsidR="005A39B5" w:rsidRPr="00C1585B" w:rsidRDefault="005A39B5" w:rsidP="005A39B5">
            <w:pPr>
              <w:pStyle w:val="ListParagraph"/>
              <w:numPr>
                <w:ilvl w:val="0"/>
                <w:numId w:val="31"/>
              </w:numPr>
              <w:ind w:left="1028" w:hanging="425"/>
              <w:rPr>
                <w:color w:val="000000" w:themeColor="text1"/>
                <w:sz w:val="22"/>
                <w:szCs w:val="22"/>
              </w:rPr>
            </w:pPr>
            <w:r w:rsidRPr="00C1585B">
              <w:rPr>
                <w:color w:val="000000" w:themeColor="text1"/>
                <w:sz w:val="22"/>
                <w:szCs w:val="22"/>
              </w:rPr>
              <w:t>Institute (Faculty)-level representatives who participate in discussions of key elements of quality assurance (including approval of new study schemes and their annual monitoring and review)</w:t>
            </w:r>
          </w:p>
          <w:p w14:paraId="3FD822D9" w14:textId="77777777" w:rsidR="005A39B5" w:rsidRDefault="005A39B5" w:rsidP="005A39B5">
            <w:pPr>
              <w:pStyle w:val="ListParagraph"/>
              <w:numPr>
                <w:ilvl w:val="0"/>
                <w:numId w:val="31"/>
              </w:numPr>
              <w:ind w:left="1028" w:hanging="425"/>
              <w:rPr>
                <w:color w:val="000000" w:themeColor="text1"/>
                <w:sz w:val="22"/>
                <w:szCs w:val="22"/>
              </w:rPr>
            </w:pPr>
            <w:r w:rsidRPr="00C1585B">
              <w:rPr>
                <w:color w:val="000000" w:themeColor="text1"/>
                <w:sz w:val="22"/>
                <w:szCs w:val="22"/>
              </w:rPr>
              <w:t>Departmental representatives who participate in the Staff Student Consultative Committees, where student concerns can be raised and addressed in discussion with departmental staff. The academic representatives</w:t>
            </w:r>
            <w:r>
              <w:rPr>
                <w:color w:val="000000" w:themeColor="text1"/>
                <w:sz w:val="22"/>
                <w:szCs w:val="22"/>
              </w:rPr>
              <w:t>’</w:t>
            </w:r>
            <w:r w:rsidRPr="00C1585B">
              <w:rPr>
                <w:color w:val="000000" w:themeColor="text1"/>
                <w:sz w:val="22"/>
                <w:szCs w:val="22"/>
              </w:rPr>
              <w:t xml:space="preserve"> work is an important part of the work of the Students’ Union in ensuring the student voice is fully </w:t>
            </w:r>
            <w:r>
              <w:rPr>
                <w:color w:val="000000" w:themeColor="text1"/>
                <w:sz w:val="22"/>
                <w:szCs w:val="22"/>
              </w:rPr>
              <w:t>heard.</w:t>
            </w:r>
          </w:p>
          <w:p w14:paraId="61BDA317" w14:textId="77777777" w:rsidR="005A39B5" w:rsidRPr="00C1585B" w:rsidRDefault="005A39B5" w:rsidP="005A39B5">
            <w:pPr>
              <w:pStyle w:val="ListParagraph"/>
              <w:numPr>
                <w:ilvl w:val="0"/>
                <w:numId w:val="31"/>
              </w:numPr>
              <w:ind w:left="1028" w:hanging="425"/>
              <w:rPr>
                <w:color w:val="000000" w:themeColor="text1"/>
                <w:sz w:val="22"/>
                <w:szCs w:val="22"/>
              </w:rPr>
            </w:pPr>
            <w:r w:rsidRPr="00C1585B">
              <w:rPr>
                <w:color w:val="000000" w:themeColor="text1"/>
                <w:sz w:val="22"/>
                <w:szCs w:val="22"/>
              </w:rPr>
              <w:t>Academic Representatives receive training and support for their role from the Students’ Union. They are responsible for representing students at course, year group or subject area level, or may have responsibility for representing specific cohorts such as Joint Honours students or Mature students.</w:t>
            </w:r>
          </w:p>
          <w:p w14:paraId="43269567" w14:textId="77777777" w:rsidR="005A39B5" w:rsidRPr="00C1585B" w:rsidRDefault="005A39B5" w:rsidP="005A39B5">
            <w:pPr>
              <w:pStyle w:val="ListParagraph"/>
              <w:numPr>
                <w:ilvl w:val="0"/>
                <w:numId w:val="31"/>
              </w:numPr>
              <w:ind w:left="1028" w:hanging="425"/>
              <w:rPr>
                <w:color w:val="000000" w:themeColor="text1"/>
                <w:sz w:val="22"/>
                <w:szCs w:val="22"/>
              </w:rPr>
            </w:pPr>
            <w:r w:rsidRPr="00C1585B">
              <w:rPr>
                <w:color w:val="000000" w:themeColor="text1"/>
                <w:sz w:val="22"/>
                <w:szCs w:val="22"/>
              </w:rPr>
              <w:t xml:space="preserve">Learning and Teaching Strategy (Student Success Plan).  The Learning and Teaching Strategy is implemented through various work strands.  There are student representatives on the delivery groups of </w:t>
            </w:r>
            <w:proofErr w:type="gramStart"/>
            <w:r w:rsidRPr="00C1585B">
              <w:rPr>
                <w:color w:val="000000" w:themeColor="text1"/>
                <w:sz w:val="22"/>
                <w:szCs w:val="22"/>
              </w:rPr>
              <w:t>all  relevant</w:t>
            </w:r>
            <w:proofErr w:type="gramEnd"/>
            <w:r w:rsidRPr="00C1585B">
              <w:rPr>
                <w:color w:val="000000" w:themeColor="text1"/>
                <w:sz w:val="22"/>
                <w:szCs w:val="22"/>
              </w:rPr>
              <w:t xml:space="preserve"> strands. </w:t>
            </w:r>
          </w:p>
          <w:p w14:paraId="3A3E6769" w14:textId="77777777" w:rsidR="005A39B5" w:rsidRDefault="005A39B5" w:rsidP="005A39B5">
            <w:pPr>
              <w:rPr>
                <w:color w:val="000000" w:themeColor="text1"/>
                <w:sz w:val="22"/>
                <w:szCs w:val="22"/>
              </w:rPr>
            </w:pPr>
          </w:p>
          <w:p w14:paraId="0711FC91" w14:textId="77777777" w:rsidR="005A39B5" w:rsidRPr="00C1585B" w:rsidRDefault="005A39B5" w:rsidP="005A39B5">
            <w:pPr>
              <w:rPr>
                <w:color w:val="000000" w:themeColor="text1"/>
                <w:sz w:val="22"/>
                <w:szCs w:val="22"/>
              </w:rPr>
            </w:pPr>
          </w:p>
          <w:p w14:paraId="5812FCD9" w14:textId="77777777" w:rsidR="005A39B5" w:rsidRDefault="005A39B5" w:rsidP="005A39B5">
            <w:pPr>
              <w:pStyle w:val="ListParagraph"/>
              <w:ind w:left="461" w:firstLine="0"/>
              <w:rPr>
                <w:b/>
                <w:sz w:val="22"/>
                <w:szCs w:val="22"/>
              </w:rPr>
            </w:pPr>
            <w:r>
              <w:rPr>
                <w:b/>
                <w:sz w:val="22"/>
                <w:szCs w:val="22"/>
              </w:rPr>
              <w:t>The Student Voice in the Fee and Access Plan</w:t>
            </w:r>
          </w:p>
          <w:p w14:paraId="6B7AF72F" w14:textId="77777777" w:rsidR="005A39B5" w:rsidRPr="0038703D" w:rsidRDefault="005A39B5" w:rsidP="005A39B5">
            <w:pPr>
              <w:pStyle w:val="ListParagraph"/>
              <w:ind w:left="461" w:firstLine="0"/>
              <w:rPr>
                <w:sz w:val="22"/>
                <w:szCs w:val="22"/>
              </w:rPr>
            </w:pPr>
            <w:r w:rsidRPr="0038703D">
              <w:rPr>
                <w:sz w:val="22"/>
                <w:szCs w:val="22"/>
              </w:rPr>
              <w:t xml:space="preserve">The Student Voice Group (SVG), which is comprised both </w:t>
            </w:r>
            <w:proofErr w:type="gramStart"/>
            <w:r w:rsidRPr="0038703D">
              <w:rPr>
                <w:sz w:val="22"/>
                <w:szCs w:val="22"/>
              </w:rPr>
              <w:t>of  Students</w:t>
            </w:r>
            <w:proofErr w:type="gramEnd"/>
            <w:r w:rsidRPr="0038703D">
              <w:rPr>
                <w:sz w:val="22"/>
                <w:szCs w:val="22"/>
              </w:rPr>
              <w:t xml:space="preserve">’ Union and AU staff,  has a remit of triaging and analysing student comment and feedback received through the following main </w:t>
            </w:r>
            <w:r>
              <w:rPr>
                <w:sz w:val="22"/>
                <w:szCs w:val="22"/>
              </w:rPr>
              <w:t>routes:</w:t>
            </w:r>
          </w:p>
          <w:p w14:paraId="6769A48F" w14:textId="77777777" w:rsidR="005A39B5" w:rsidRPr="00C1585B" w:rsidRDefault="005A39B5" w:rsidP="005A39B5">
            <w:pPr>
              <w:pStyle w:val="ListParagraph"/>
              <w:ind w:left="0" w:firstLine="0"/>
              <w:rPr>
                <w:sz w:val="22"/>
                <w:szCs w:val="22"/>
              </w:rPr>
            </w:pPr>
          </w:p>
          <w:p w14:paraId="5ADADDBC" w14:textId="77777777" w:rsidR="005A39B5" w:rsidRPr="00C1585B" w:rsidRDefault="005A39B5" w:rsidP="005A39B5">
            <w:pPr>
              <w:pStyle w:val="ListParagraph"/>
              <w:numPr>
                <w:ilvl w:val="2"/>
                <w:numId w:val="30"/>
              </w:numPr>
              <w:ind w:left="1170" w:hanging="284"/>
              <w:rPr>
                <w:sz w:val="22"/>
                <w:szCs w:val="22"/>
              </w:rPr>
            </w:pPr>
            <w:r w:rsidRPr="00C1585B">
              <w:rPr>
                <w:sz w:val="22"/>
                <w:szCs w:val="22"/>
              </w:rPr>
              <w:t xml:space="preserve">Staff Student Consultative Committees (the academic representative system </w:t>
            </w:r>
          </w:p>
          <w:p w14:paraId="197962B2" w14:textId="77777777" w:rsidR="005A39B5" w:rsidRPr="00C1585B" w:rsidRDefault="005A39B5" w:rsidP="005A39B5">
            <w:pPr>
              <w:pStyle w:val="ListParagraph"/>
              <w:numPr>
                <w:ilvl w:val="2"/>
                <w:numId w:val="30"/>
              </w:numPr>
              <w:ind w:left="1170" w:hanging="284"/>
              <w:rPr>
                <w:sz w:val="22"/>
                <w:szCs w:val="22"/>
              </w:rPr>
            </w:pPr>
            <w:r w:rsidRPr="00C1585B">
              <w:rPr>
                <w:sz w:val="22"/>
                <w:szCs w:val="22"/>
              </w:rPr>
              <w:t xml:space="preserve">The University’s Your Voice Matters feedback scheme.   </w:t>
            </w:r>
          </w:p>
          <w:p w14:paraId="60CC01A2" w14:textId="77777777" w:rsidR="005A39B5" w:rsidRPr="00C1585B" w:rsidRDefault="005A39B5" w:rsidP="005A39B5">
            <w:pPr>
              <w:ind w:left="1170" w:hanging="284"/>
              <w:rPr>
                <w:sz w:val="22"/>
                <w:szCs w:val="22"/>
              </w:rPr>
            </w:pPr>
            <w:r w:rsidRPr="00C1585B">
              <w:rPr>
                <w:sz w:val="22"/>
                <w:szCs w:val="22"/>
              </w:rPr>
              <w:t xml:space="preserve"> </w:t>
            </w:r>
          </w:p>
          <w:p w14:paraId="0D677BD2" w14:textId="77777777" w:rsidR="005A39B5" w:rsidRPr="00C1585B" w:rsidRDefault="005A39B5" w:rsidP="005A39B5">
            <w:pPr>
              <w:ind w:left="461" w:firstLine="0"/>
              <w:rPr>
                <w:color w:val="000000" w:themeColor="text1"/>
                <w:sz w:val="22"/>
                <w:szCs w:val="22"/>
              </w:rPr>
            </w:pPr>
            <w:r w:rsidRPr="00C1585B">
              <w:rPr>
                <w:i/>
                <w:color w:val="000000" w:themeColor="text1"/>
                <w:sz w:val="22"/>
                <w:szCs w:val="22"/>
              </w:rPr>
              <w:t>Your Voice Matters</w:t>
            </w:r>
            <w:r w:rsidRPr="00C1585B">
              <w:rPr>
                <w:b/>
                <w:color w:val="000000" w:themeColor="text1"/>
                <w:sz w:val="22"/>
                <w:szCs w:val="22"/>
              </w:rPr>
              <w:t xml:space="preserve"> </w:t>
            </w:r>
            <w:r w:rsidRPr="00C1585B">
              <w:rPr>
                <w:color w:val="000000" w:themeColor="text1"/>
                <w:sz w:val="22"/>
                <w:szCs w:val="22"/>
              </w:rPr>
              <w:t>is</w:t>
            </w:r>
            <w:r w:rsidRPr="00C1585B">
              <w:rPr>
                <w:b/>
                <w:color w:val="000000" w:themeColor="text1"/>
                <w:sz w:val="22"/>
                <w:szCs w:val="22"/>
              </w:rPr>
              <w:t xml:space="preserve"> </w:t>
            </w:r>
            <w:r w:rsidRPr="00C1585B">
              <w:rPr>
                <w:color w:val="000000" w:themeColor="text1"/>
                <w:sz w:val="22"/>
                <w:szCs w:val="22"/>
              </w:rPr>
              <w:t>a university-wide approach to student engagement which encourages students to suggest ways in which activities and processes at the University can be improved. Your Voice Matters comprises two elements:</w:t>
            </w:r>
          </w:p>
          <w:p w14:paraId="5605E434" w14:textId="77777777" w:rsidR="005A39B5" w:rsidRPr="00C1585B" w:rsidRDefault="005A39B5" w:rsidP="005A39B5">
            <w:pPr>
              <w:ind w:left="360" w:firstLine="0"/>
              <w:rPr>
                <w:color w:val="000000" w:themeColor="text1"/>
                <w:sz w:val="22"/>
                <w:szCs w:val="22"/>
              </w:rPr>
            </w:pPr>
          </w:p>
          <w:p w14:paraId="3B109295" w14:textId="77777777" w:rsidR="005A39B5" w:rsidRPr="00C1585B" w:rsidRDefault="005A39B5" w:rsidP="005A39B5">
            <w:pPr>
              <w:pStyle w:val="ListParagraph"/>
              <w:numPr>
                <w:ilvl w:val="0"/>
                <w:numId w:val="32"/>
              </w:numPr>
              <w:ind w:left="1028" w:hanging="283"/>
              <w:rPr>
                <w:color w:val="000000" w:themeColor="text1"/>
                <w:sz w:val="22"/>
                <w:szCs w:val="22"/>
              </w:rPr>
            </w:pPr>
            <w:r w:rsidRPr="004B6F69">
              <w:rPr>
                <w:i/>
                <w:color w:val="000000" w:themeColor="text1"/>
                <w:sz w:val="22"/>
                <w:szCs w:val="22"/>
              </w:rPr>
              <w:t xml:space="preserve">Tell Us Now </w:t>
            </w:r>
            <w:proofErr w:type="gramStart"/>
            <w:r w:rsidRPr="004B6F69">
              <w:rPr>
                <w:i/>
                <w:color w:val="000000" w:themeColor="text1"/>
                <w:sz w:val="22"/>
                <w:szCs w:val="22"/>
              </w:rPr>
              <w:t>-</w:t>
            </w:r>
            <w:r w:rsidRPr="00C1585B">
              <w:rPr>
                <w:i/>
                <w:color w:val="000000" w:themeColor="text1"/>
                <w:sz w:val="22"/>
                <w:szCs w:val="22"/>
              </w:rPr>
              <w:t xml:space="preserve">  </w:t>
            </w:r>
            <w:r w:rsidRPr="00C1585B">
              <w:rPr>
                <w:color w:val="000000" w:themeColor="text1"/>
                <w:sz w:val="22"/>
                <w:szCs w:val="22"/>
              </w:rPr>
              <w:t>an</w:t>
            </w:r>
            <w:proofErr w:type="gramEnd"/>
            <w:r w:rsidRPr="00C1585B">
              <w:rPr>
                <w:color w:val="000000" w:themeColor="text1"/>
                <w:sz w:val="22"/>
                <w:szCs w:val="22"/>
              </w:rPr>
              <w:t xml:space="preserve"> anonymous online portal through which students can contribute ideas and comments. This is essential to monitor the realisation of initiatives.</w:t>
            </w:r>
          </w:p>
          <w:p w14:paraId="05D422FE" w14:textId="77777777" w:rsidR="005A39B5" w:rsidRPr="00C1585B" w:rsidRDefault="005A39B5" w:rsidP="005A39B5">
            <w:pPr>
              <w:pStyle w:val="ListParagraph"/>
              <w:numPr>
                <w:ilvl w:val="0"/>
                <w:numId w:val="32"/>
              </w:numPr>
              <w:ind w:left="1028" w:hanging="283"/>
              <w:rPr>
                <w:color w:val="000000" w:themeColor="text1"/>
                <w:sz w:val="22"/>
                <w:szCs w:val="22"/>
              </w:rPr>
            </w:pPr>
            <w:r w:rsidRPr="00C1585B">
              <w:rPr>
                <w:i/>
                <w:color w:val="000000" w:themeColor="text1"/>
                <w:sz w:val="22"/>
                <w:szCs w:val="22"/>
              </w:rPr>
              <w:t xml:space="preserve">Module Evaluation </w:t>
            </w:r>
            <w:proofErr w:type="spellStart"/>
            <w:r w:rsidRPr="00C1585B">
              <w:rPr>
                <w:i/>
                <w:color w:val="000000" w:themeColor="text1"/>
                <w:sz w:val="22"/>
                <w:szCs w:val="22"/>
              </w:rPr>
              <w:t>Questionaires</w:t>
            </w:r>
            <w:proofErr w:type="spellEnd"/>
            <w:r w:rsidRPr="00C1585B">
              <w:rPr>
                <w:b/>
                <w:color w:val="000000" w:themeColor="text1"/>
                <w:sz w:val="22"/>
                <w:szCs w:val="22"/>
              </w:rPr>
              <w:t xml:space="preserve"> </w:t>
            </w:r>
            <w:r w:rsidRPr="00C1585B">
              <w:rPr>
                <w:color w:val="000000" w:themeColor="text1"/>
                <w:sz w:val="22"/>
                <w:szCs w:val="22"/>
              </w:rPr>
              <w:softHyphen/>
            </w:r>
            <w:proofErr w:type="gramStart"/>
            <w:r w:rsidRPr="00C1585B">
              <w:rPr>
                <w:color w:val="000000" w:themeColor="text1"/>
                <w:sz w:val="22"/>
                <w:szCs w:val="22"/>
              </w:rPr>
              <w:t>-  centrally</w:t>
            </w:r>
            <w:proofErr w:type="gramEnd"/>
            <w:r w:rsidRPr="00C1585B">
              <w:rPr>
                <w:color w:val="000000" w:themeColor="text1"/>
                <w:sz w:val="22"/>
                <w:szCs w:val="22"/>
              </w:rPr>
              <w:t xml:space="preserve">-coordinated surveys are run for each </w:t>
            </w:r>
            <w:r>
              <w:rPr>
                <w:color w:val="000000" w:themeColor="text1"/>
                <w:sz w:val="22"/>
                <w:szCs w:val="22"/>
              </w:rPr>
              <w:t xml:space="preserve">undergraduate and integrated masters </w:t>
            </w:r>
            <w:r w:rsidRPr="00C1585B">
              <w:rPr>
                <w:color w:val="000000" w:themeColor="text1"/>
                <w:sz w:val="22"/>
                <w:szCs w:val="22"/>
              </w:rPr>
              <w:t xml:space="preserve">module, enabling a wealth of data and information to inform both departmental and the overall AU approach to improving the student experience.  </w:t>
            </w:r>
          </w:p>
          <w:p w14:paraId="364F1AFA" w14:textId="77777777" w:rsidR="005A39B5" w:rsidRPr="00C1585B" w:rsidRDefault="005A39B5" w:rsidP="005A39B5">
            <w:pPr>
              <w:rPr>
                <w:color w:val="000000" w:themeColor="text1"/>
                <w:sz w:val="22"/>
                <w:szCs w:val="22"/>
              </w:rPr>
            </w:pPr>
          </w:p>
          <w:p w14:paraId="13CAC536" w14:textId="77777777" w:rsidR="005A39B5" w:rsidRPr="00C1585B" w:rsidRDefault="005A39B5" w:rsidP="005A39B5">
            <w:pPr>
              <w:rPr>
                <w:color w:val="000000" w:themeColor="text1"/>
                <w:sz w:val="22"/>
                <w:szCs w:val="22"/>
              </w:rPr>
            </w:pPr>
          </w:p>
          <w:p w14:paraId="64FC5AAB" w14:textId="77777777" w:rsidR="005A39B5" w:rsidRPr="00C1585B" w:rsidRDefault="005A39B5" w:rsidP="005A39B5">
            <w:pPr>
              <w:ind w:left="461" w:firstLine="0"/>
              <w:rPr>
                <w:color w:val="000000" w:themeColor="text1"/>
                <w:sz w:val="22"/>
                <w:szCs w:val="22"/>
              </w:rPr>
            </w:pPr>
            <w:r w:rsidRPr="00184EB9">
              <w:rPr>
                <w:color w:val="000000" w:themeColor="text1"/>
                <w:sz w:val="22"/>
                <w:szCs w:val="22"/>
              </w:rPr>
              <w:t>The SV Group analysis, and recommendations from the Group, is provided to all staff</w:t>
            </w:r>
            <w:r w:rsidRPr="00C1585B">
              <w:rPr>
                <w:color w:val="000000" w:themeColor="text1"/>
                <w:sz w:val="22"/>
                <w:szCs w:val="22"/>
              </w:rPr>
              <w:t xml:space="preserve"> involved in academic leadership and planning, and feeds up to senior management.   The analysis informs strategic decisions about levels of investment, including Fee and Access Plan expenditure.   The feedback loop to the student (about action </w:t>
            </w:r>
            <w:proofErr w:type="gramStart"/>
            <w:r w:rsidRPr="00C1585B">
              <w:rPr>
                <w:color w:val="000000" w:themeColor="text1"/>
                <w:sz w:val="22"/>
                <w:szCs w:val="22"/>
              </w:rPr>
              <w:t xml:space="preserve">taken)   </w:t>
            </w:r>
            <w:proofErr w:type="gramEnd"/>
            <w:r w:rsidRPr="00C1585B">
              <w:rPr>
                <w:color w:val="000000" w:themeColor="text1"/>
                <w:sz w:val="22"/>
                <w:szCs w:val="22"/>
              </w:rPr>
              <w:t xml:space="preserve">is closed through a regular communications campaign which keeps students informed on how their voices are driving change. </w:t>
            </w:r>
          </w:p>
          <w:p w14:paraId="402F38D9" w14:textId="77777777" w:rsidR="005A39B5" w:rsidRDefault="005A39B5" w:rsidP="005A39B5">
            <w:pPr>
              <w:pStyle w:val="Heading2"/>
              <w:ind w:left="461"/>
              <w:rPr>
                <w:sz w:val="22"/>
                <w:szCs w:val="22"/>
              </w:rPr>
            </w:pPr>
          </w:p>
          <w:p w14:paraId="6EA4B7CB" w14:textId="77777777" w:rsidR="005A39B5" w:rsidRPr="00693885" w:rsidRDefault="005A39B5" w:rsidP="005A39B5">
            <w:pPr>
              <w:ind w:left="461"/>
            </w:pPr>
          </w:p>
          <w:p w14:paraId="402BD437" w14:textId="77777777" w:rsidR="005A39B5" w:rsidRPr="00C1585B" w:rsidRDefault="005A39B5" w:rsidP="005A39B5">
            <w:pPr>
              <w:pStyle w:val="Heading2"/>
              <w:ind w:left="461"/>
              <w:rPr>
                <w:rFonts w:cs="Arial"/>
                <w:b/>
                <w:sz w:val="22"/>
                <w:szCs w:val="22"/>
              </w:rPr>
            </w:pPr>
            <w:bookmarkStart w:id="3" w:name="_Toc34053204"/>
            <w:bookmarkStart w:id="4" w:name="_Toc65494179"/>
            <w:bookmarkStart w:id="5" w:name="_Toc3888574"/>
            <w:r w:rsidRPr="00C1585B">
              <w:rPr>
                <w:rFonts w:cs="Arial"/>
                <w:b/>
                <w:sz w:val="22"/>
                <w:szCs w:val="22"/>
              </w:rPr>
              <w:t>The Student Voice in agreeing the Fee and Access Plan</w:t>
            </w:r>
            <w:bookmarkEnd w:id="3"/>
            <w:bookmarkEnd w:id="4"/>
            <w:r w:rsidRPr="00C1585B">
              <w:rPr>
                <w:rFonts w:cs="Arial"/>
                <w:b/>
                <w:sz w:val="22"/>
                <w:szCs w:val="22"/>
              </w:rPr>
              <w:t xml:space="preserve"> </w:t>
            </w:r>
            <w:bookmarkEnd w:id="5"/>
          </w:p>
          <w:p w14:paraId="6C792A5A" w14:textId="77777777" w:rsidR="005A39B5" w:rsidRPr="00C1585B" w:rsidRDefault="005A39B5" w:rsidP="005A39B5">
            <w:pPr>
              <w:ind w:left="461" w:firstLine="0"/>
              <w:rPr>
                <w:b/>
                <w:color w:val="0070C0"/>
                <w:sz w:val="22"/>
                <w:szCs w:val="22"/>
              </w:rPr>
            </w:pPr>
          </w:p>
          <w:p w14:paraId="7F5ABFDE" w14:textId="00D58EBD" w:rsidR="005A39B5" w:rsidRPr="00C1585B" w:rsidRDefault="005A39B5" w:rsidP="005A39B5">
            <w:pPr>
              <w:ind w:left="461" w:firstLine="0"/>
              <w:rPr>
                <w:color w:val="000000" w:themeColor="text1"/>
                <w:sz w:val="22"/>
                <w:szCs w:val="22"/>
              </w:rPr>
            </w:pPr>
            <w:r w:rsidRPr="00C1585B">
              <w:rPr>
                <w:color w:val="000000" w:themeColor="text1"/>
                <w:sz w:val="22"/>
                <w:szCs w:val="22"/>
              </w:rPr>
              <w:t>The priorities and content of the 202</w:t>
            </w:r>
            <w:r>
              <w:rPr>
                <w:color w:val="000000" w:themeColor="text1"/>
                <w:sz w:val="22"/>
                <w:szCs w:val="22"/>
              </w:rPr>
              <w:t>2</w:t>
            </w:r>
            <w:r w:rsidRPr="00C1585B">
              <w:rPr>
                <w:color w:val="000000" w:themeColor="text1"/>
                <w:sz w:val="22"/>
                <w:szCs w:val="22"/>
              </w:rPr>
              <w:t>/2</w:t>
            </w:r>
            <w:r>
              <w:rPr>
                <w:color w:val="000000" w:themeColor="text1"/>
                <w:sz w:val="22"/>
                <w:szCs w:val="22"/>
              </w:rPr>
              <w:t>3</w:t>
            </w:r>
            <w:r w:rsidRPr="00C1585B">
              <w:rPr>
                <w:color w:val="000000" w:themeColor="text1"/>
                <w:sz w:val="22"/>
                <w:szCs w:val="22"/>
              </w:rPr>
              <w:t xml:space="preserve"> Fee and Access Plan has been discussed with our Students’ Union, who endorsed the planned investment</w:t>
            </w:r>
            <w:r>
              <w:rPr>
                <w:color w:val="000000" w:themeColor="text1"/>
                <w:sz w:val="22"/>
                <w:szCs w:val="22"/>
              </w:rPr>
              <w:t xml:space="preserve"> balance within the plan and the activities which are underpinned by this investment. </w:t>
            </w:r>
            <w:r w:rsidRPr="00184EB9">
              <w:rPr>
                <w:color w:val="000000" w:themeColor="text1"/>
                <w:sz w:val="22"/>
                <w:szCs w:val="22"/>
              </w:rPr>
              <w:t>The SU is kept abreast of the responses to the Student Voice achieved through the SV Group.  Meeting with the Student’s Union enables clarity on where th</w:t>
            </w:r>
            <w:r w:rsidRPr="00C1585B">
              <w:rPr>
                <w:color w:val="000000" w:themeColor="text1"/>
                <w:sz w:val="22"/>
                <w:szCs w:val="22"/>
              </w:rPr>
              <w:t>e Fee and Access Plans align with the priorities, campaigns and concerns of the Students</w:t>
            </w:r>
            <w:r>
              <w:rPr>
                <w:color w:val="000000" w:themeColor="text1"/>
                <w:sz w:val="22"/>
                <w:szCs w:val="22"/>
              </w:rPr>
              <w:t>’</w:t>
            </w:r>
            <w:r w:rsidRPr="00C1585B">
              <w:rPr>
                <w:color w:val="000000" w:themeColor="text1"/>
                <w:sz w:val="22"/>
                <w:szCs w:val="22"/>
              </w:rPr>
              <w:t xml:space="preserve"> Union. </w:t>
            </w:r>
          </w:p>
          <w:p w14:paraId="577FAD8B" w14:textId="77777777" w:rsidR="005A39B5" w:rsidRPr="00C1585B" w:rsidRDefault="005A39B5" w:rsidP="005A39B5">
            <w:pPr>
              <w:ind w:left="0" w:firstLine="0"/>
              <w:rPr>
                <w:color w:val="000000" w:themeColor="text1"/>
                <w:sz w:val="22"/>
                <w:szCs w:val="22"/>
              </w:rPr>
            </w:pPr>
          </w:p>
          <w:p w14:paraId="58319E1D" w14:textId="29A46A65" w:rsidR="005A39B5" w:rsidRPr="00C1585B" w:rsidRDefault="005A39B5" w:rsidP="005A39B5">
            <w:pPr>
              <w:ind w:left="461" w:firstLine="0"/>
              <w:rPr>
                <w:color w:val="000000" w:themeColor="text1"/>
                <w:sz w:val="22"/>
                <w:szCs w:val="22"/>
              </w:rPr>
            </w:pPr>
            <w:r w:rsidRPr="00C1585B">
              <w:rPr>
                <w:color w:val="000000" w:themeColor="text1"/>
                <w:sz w:val="22"/>
                <w:szCs w:val="22"/>
              </w:rPr>
              <w:t xml:space="preserve">The Students’ Union President and Welsh </w:t>
            </w:r>
            <w:r>
              <w:rPr>
                <w:color w:val="000000" w:themeColor="text1"/>
                <w:sz w:val="22"/>
                <w:szCs w:val="22"/>
              </w:rPr>
              <w:t>Culture</w:t>
            </w:r>
            <w:r w:rsidRPr="00C1585B">
              <w:rPr>
                <w:color w:val="000000" w:themeColor="text1"/>
                <w:sz w:val="22"/>
                <w:szCs w:val="22"/>
              </w:rPr>
              <w:t xml:space="preserve"> Officer/UMCA President also sit on the University’s Council, which approve</w:t>
            </w:r>
            <w:r w:rsidR="005B268E">
              <w:rPr>
                <w:color w:val="000000" w:themeColor="text1"/>
                <w:sz w:val="22"/>
                <w:szCs w:val="22"/>
              </w:rPr>
              <w:t>s</w:t>
            </w:r>
            <w:r w:rsidRPr="00C1585B">
              <w:rPr>
                <w:color w:val="000000" w:themeColor="text1"/>
                <w:sz w:val="22"/>
                <w:szCs w:val="22"/>
              </w:rPr>
              <w:t xml:space="preserve"> the final version of</w:t>
            </w:r>
            <w:r w:rsidR="005B268E">
              <w:rPr>
                <w:color w:val="000000" w:themeColor="text1"/>
                <w:sz w:val="22"/>
                <w:szCs w:val="22"/>
              </w:rPr>
              <w:t xml:space="preserve"> our</w:t>
            </w:r>
            <w:r w:rsidRPr="00C1585B">
              <w:rPr>
                <w:color w:val="000000" w:themeColor="text1"/>
                <w:sz w:val="22"/>
                <w:szCs w:val="22"/>
              </w:rPr>
              <w:t xml:space="preserve"> Fee and Access Plan</w:t>
            </w:r>
            <w:r w:rsidR="005B268E">
              <w:rPr>
                <w:color w:val="000000" w:themeColor="text1"/>
                <w:sz w:val="22"/>
                <w:szCs w:val="22"/>
              </w:rPr>
              <w:t>s</w:t>
            </w:r>
            <w:r w:rsidRPr="00C1585B">
              <w:rPr>
                <w:color w:val="000000" w:themeColor="text1"/>
                <w:sz w:val="22"/>
                <w:szCs w:val="22"/>
              </w:rPr>
              <w:t xml:space="preserve">.   </w:t>
            </w:r>
          </w:p>
          <w:p w14:paraId="028B989A" w14:textId="77777777" w:rsidR="005A39B5" w:rsidRPr="00C1585B" w:rsidRDefault="005A39B5" w:rsidP="005A39B5">
            <w:pPr>
              <w:ind w:left="461" w:firstLine="0"/>
              <w:rPr>
                <w:color w:val="000000" w:themeColor="text1"/>
                <w:sz w:val="22"/>
                <w:szCs w:val="22"/>
              </w:rPr>
            </w:pPr>
          </w:p>
          <w:p w14:paraId="406A0C29" w14:textId="58B4FBD6" w:rsidR="005A39B5" w:rsidRDefault="00E8082E" w:rsidP="005A39B5">
            <w:pPr>
              <w:ind w:left="461" w:firstLine="0"/>
              <w:rPr>
                <w:sz w:val="22"/>
                <w:szCs w:val="22"/>
                <w:lang w:val="en-US"/>
              </w:rPr>
            </w:pPr>
            <w:r>
              <w:rPr>
                <w:rFonts w:eastAsia="Times New Roman" w:cs="Arial"/>
                <w:iCs/>
                <w:color w:val="000000"/>
                <w:sz w:val="22"/>
                <w:szCs w:val="22"/>
              </w:rPr>
              <w:t xml:space="preserve">The </w:t>
            </w:r>
            <w:r w:rsidR="005A39B5" w:rsidRPr="009E45B2">
              <w:rPr>
                <w:rFonts w:eastAsia="Times New Roman" w:cs="Arial"/>
                <w:iCs/>
                <w:color w:val="000000"/>
                <w:sz w:val="22"/>
                <w:szCs w:val="22"/>
              </w:rPr>
              <w:t>University works with a number of partners to deliver Undergraduate provision across Wales and recognises its responsibilities towards those students. We work closely with all our partners to ensure the quality of both the provision and the student experience. The requirement to engage appropriately with the student voice is embedded in our partnership agreements and we</w:t>
            </w:r>
            <w:r w:rsidR="005A39B5" w:rsidRPr="009E45B2">
              <w:rPr>
                <w:rFonts w:eastAsia="Times New Roman" w:cs="Arial"/>
                <w:iCs/>
                <w:color w:val="212121"/>
                <w:sz w:val="22"/>
                <w:szCs w:val="22"/>
              </w:rPr>
              <w:t xml:space="preserve"> are assured that their processes for student representation are robust and that students have a mechanism through which their needs can be expressed and met.  We are also </w:t>
            </w:r>
            <w:proofErr w:type="gramStart"/>
            <w:r w:rsidR="005A39B5" w:rsidRPr="009E45B2">
              <w:rPr>
                <w:rFonts w:eastAsia="Times New Roman" w:cs="Arial"/>
                <w:iCs/>
                <w:color w:val="212121"/>
                <w:sz w:val="22"/>
                <w:szCs w:val="22"/>
              </w:rPr>
              <w:t>confident  that</w:t>
            </w:r>
            <w:proofErr w:type="gramEnd"/>
            <w:r w:rsidR="005A39B5" w:rsidRPr="009E45B2">
              <w:rPr>
                <w:rFonts w:eastAsia="Times New Roman" w:cs="Arial"/>
                <w:iCs/>
                <w:color w:val="212121"/>
                <w:sz w:val="22"/>
                <w:szCs w:val="22"/>
              </w:rPr>
              <w:t xml:space="preserve"> the level of investment at the Partner Colleges meets Fee Plan requirements.  Partners participate, for example, in our Module Evaluation Questionnaires (MEQ’s), as well as having other ways of engaging with the student voice. At both </w:t>
            </w:r>
            <w:proofErr w:type="spellStart"/>
            <w:r w:rsidR="005A39B5" w:rsidRPr="009E45B2">
              <w:rPr>
                <w:rFonts w:eastAsia="Times New Roman" w:cs="Arial"/>
                <w:iCs/>
                <w:color w:val="212121"/>
                <w:sz w:val="22"/>
                <w:szCs w:val="22"/>
              </w:rPr>
              <w:t>Colegs</w:t>
            </w:r>
            <w:proofErr w:type="spellEnd"/>
            <w:r w:rsidR="005A39B5" w:rsidRPr="009E45B2">
              <w:rPr>
                <w:rFonts w:eastAsia="Times New Roman" w:cs="Arial"/>
                <w:iCs/>
                <w:color w:val="212121"/>
                <w:sz w:val="22"/>
                <w:szCs w:val="22"/>
              </w:rPr>
              <w:t xml:space="preserve"> Cambria and Gwent, the students meet with the Link Tutor from AU </w:t>
            </w:r>
            <w:r w:rsidR="005A39B5" w:rsidRPr="009E45B2">
              <w:rPr>
                <w:sz w:val="22"/>
                <w:szCs w:val="22"/>
                <w:lang w:val="en-US"/>
              </w:rPr>
              <w:t>twice a year to discuss how they are finding the programs and to raise any issues directly.</w:t>
            </w:r>
          </w:p>
          <w:p w14:paraId="077A9A56" w14:textId="77777777" w:rsidR="005A39B5" w:rsidRPr="009E45B2" w:rsidRDefault="005A39B5" w:rsidP="005A39B5">
            <w:pPr>
              <w:ind w:left="461" w:firstLine="0"/>
              <w:rPr>
                <w:rFonts w:eastAsia="Times New Roman" w:cs="Arial"/>
                <w:iCs/>
                <w:color w:val="212121"/>
                <w:sz w:val="22"/>
                <w:szCs w:val="22"/>
              </w:rPr>
            </w:pPr>
          </w:p>
          <w:p w14:paraId="3F614DEC" w14:textId="057F8679" w:rsidR="005A39B5" w:rsidRDefault="005A39B5" w:rsidP="005A39B5">
            <w:pPr>
              <w:rPr>
                <w:rFonts w:eastAsia="Times New Roman" w:cs="Arial"/>
                <w:iCs/>
                <w:color w:val="212121"/>
                <w:sz w:val="22"/>
                <w:szCs w:val="22"/>
              </w:rPr>
            </w:pPr>
            <w:proofErr w:type="gramStart"/>
            <w:r w:rsidRPr="009E45B2">
              <w:rPr>
                <w:rFonts w:eastAsia="Times New Roman" w:cs="Arial"/>
                <w:iCs/>
                <w:color w:val="212121"/>
                <w:sz w:val="22"/>
                <w:szCs w:val="22"/>
              </w:rPr>
              <w:t>Additionally :</w:t>
            </w:r>
            <w:proofErr w:type="gramEnd"/>
            <w:r w:rsidRPr="009E45B2">
              <w:rPr>
                <w:rFonts w:eastAsia="Times New Roman" w:cs="Arial"/>
                <w:iCs/>
                <w:color w:val="212121"/>
                <w:sz w:val="22"/>
                <w:szCs w:val="22"/>
              </w:rPr>
              <w:t xml:space="preserve">– </w:t>
            </w:r>
          </w:p>
          <w:p w14:paraId="08569066" w14:textId="77777777" w:rsidR="005A39B5" w:rsidRPr="009E45B2" w:rsidRDefault="005A39B5" w:rsidP="005A39B5">
            <w:pPr>
              <w:rPr>
                <w:rFonts w:eastAsia="Times New Roman" w:cs="Arial"/>
                <w:iCs/>
                <w:color w:val="212121"/>
                <w:sz w:val="22"/>
                <w:szCs w:val="22"/>
              </w:rPr>
            </w:pPr>
          </w:p>
          <w:p w14:paraId="599BB7FF" w14:textId="77777777" w:rsidR="005A39B5" w:rsidRDefault="005A39B5" w:rsidP="005A39B5">
            <w:pPr>
              <w:ind w:left="461" w:firstLine="0"/>
              <w:rPr>
                <w:rFonts w:eastAsia="Times New Roman" w:cs="Arial"/>
                <w:color w:val="212121"/>
                <w:sz w:val="22"/>
                <w:szCs w:val="22"/>
              </w:rPr>
            </w:pPr>
            <w:r w:rsidRPr="009E45B2">
              <w:rPr>
                <w:rFonts w:eastAsia="Times New Roman" w:cs="Arial"/>
                <w:iCs/>
                <w:color w:val="212121"/>
                <w:sz w:val="22"/>
                <w:szCs w:val="22"/>
              </w:rPr>
              <w:t>At Coleg Cambria this takes the form of student representation on the Higher Education Operational Group. Student feedback is also received via the Module Evaluation Questionnaires and through ‘mock NSS’ surveys. Additionally, our Students’ Union is active with students at our franchise partners.</w:t>
            </w:r>
          </w:p>
          <w:p w14:paraId="6C133CD3" w14:textId="77777777" w:rsidR="005A39B5" w:rsidRDefault="005A39B5" w:rsidP="005A39B5">
            <w:pPr>
              <w:ind w:left="461" w:firstLine="0"/>
              <w:rPr>
                <w:sz w:val="22"/>
                <w:szCs w:val="22"/>
                <w:lang w:val="en-US"/>
              </w:rPr>
            </w:pPr>
          </w:p>
          <w:p w14:paraId="31EF537A" w14:textId="45EE8FE6" w:rsidR="005A39B5" w:rsidRPr="009E45B2" w:rsidRDefault="005A39B5" w:rsidP="005A39B5">
            <w:pPr>
              <w:ind w:left="461" w:firstLine="0"/>
              <w:rPr>
                <w:sz w:val="22"/>
                <w:szCs w:val="22"/>
                <w:lang w:val="en-US"/>
              </w:rPr>
            </w:pPr>
            <w:r w:rsidRPr="009E45B2">
              <w:rPr>
                <w:sz w:val="22"/>
                <w:szCs w:val="22"/>
                <w:lang w:val="en-US"/>
              </w:rPr>
              <w:t>At Coleg Gwent for each year of study there are 2 student reps. Students can also provide feedback through the Learner Voice forum which is held twice a year. Additionally, students have a campaign “Together we’ve” where changes or new implementations introduced at the Coleg as a direct result of student feedback are promoted. Students are also invited to a forum with the Coleg Vice Principal and Head of Learner Services.</w:t>
            </w:r>
          </w:p>
          <w:p w14:paraId="29AEF360" w14:textId="77777777" w:rsidR="005A39B5" w:rsidRDefault="005A39B5" w:rsidP="005A39B5">
            <w:pPr>
              <w:spacing w:after="120"/>
              <w:ind w:left="745" w:firstLine="0"/>
            </w:pPr>
          </w:p>
          <w:p w14:paraId="2CFB74B6" w14:textId="77777777" w:rsidR="007C5075" w:rsidRDefault="007C5075" w:rsidP="005A39B5">
            <w:pPr>
              <w:spacing w:after="120"/>
              <w:ind w:left="745" w:firstLine="0"/>
            </w:pPr>
          </w:p>
          <w:p w14:paraId="6AD654B2" w14:textId="77777777" w:rsidR="007C5075" w:rsidRDefault="007C5075" w:rsidP="005A39B5">
            <w:pPr>
              <w:spacing w:after="120"/>
              <w:ind w:left="745" w:firstLine="0"/>
            </w:pPr>
          </w:p>
          <w:p w14:paraId="26998454" w14:textId="77777777" w:rsidR="007C5075" w:rsidRDefault="007C5075" w:rsidP="005A39B5">
            <w:pPr>
              <w:spacing w:after="120"/>
              <w:ind w:left="745" w:firstLine="0"/>
            </w:pPr>
          </w:p>
          <w:p w14:paraId="5BFC1D8C" w14:textId="3B7C3211" w:rsidR="007C5075" w:rsidRPr="00343B5C" w:rsidRDefault="007C5075" w:rsidP="005A39B5">
            <w:pPr>
              <w:spacing w:after="120"/>
              <w:ind w:left="745" w:firstLine="0"/>
            </w:pPr>
          </w:p>
        </w:tc>
      </w:tr>
      <w:tr w:rsidR="005A39B5" w:rsidRPr="00343B5C" w14:paraId="577C7A91" w14:textId="77777777" w:rsidTr="00215C7B">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C5383" w14:textId="7F37C288" w:rsidR="005A39B5" w:rsidRPr="007C5075" w:rsidRDefault="005A39B5" w:rsidP="007C5075">
            <w:pPr>
              <w:pStyle w:val="Heading2"/>
              <w:jc w:val="center"/>
              <w:rPr>
                <w:b/>
              </w:rPr>
            </w:pPr>
            <w:r w:rsidRPr="00343B5C">
              <w:rPr>
                <w:b/>
              </w:rPr>
              <w:lastRenderedPageBreak/>
              <w:t>Section 3 - Under-represented groups</w:t>
            </w:r>
          </w:p>
        </w:tc>
      </w:tr>
      <w:tr w:rsidR="005A39B5" w:rsidRPr="00343B5C" w14:paraId="32D284BF" w14:textId="77777777" w:rsidTr="00B94A0B">
        <w:trPr>
          <w:trHeight w:val="2177"/>
        </w:trPr>
        <w:tc>
          <w:tcPr>
            <w:tcW w:w="15168" w:type="dxa"/>
            <w:gridSpan w:val="4"/>
            <w:tcBorders>
              <w:top w:val="single" w:sz="4" w:space="0" w:color="auto"/>
              <w:left w:val="single" w:sz="4" w:space="0" w:color="auto"/>
              <w:bottom w:val="single" w:sz="4" w:space="0" w:color="auto"/>
              <w:right w:val="single" w:sz="4" w:space="0" w:color="auto"/>
            </w:tcBorders>
            <w:vAlign w:val="center"/>
          </w:tcPr>
          <w:p w14:paraId="459572C6" w14:textId="77777777" w:rsidR="005A39B5" w:rsidRDefault="005A39B5" w:rsidP="005A39B5">
            <w:pPr>
              <w:ind w:left="0" w:firstLine="0"/>
              <w:rPr>
                <w:b/>
                <w:color w:val="000000" w:themeColor="text1"/>
                <w:sz w:val="22"/>
                <w:szCs w:val="22"/>
              </w:rPr>
            </w:pPr>
            <w:r>
              <w:rPr>
                <w:b/>
                <w:color w:val="000000" w:themeColor="text1"/>
                <w:sz w:val="22"/>
                <w:szCs w:val="22"/>
              </w:rPr>
              <w:t xml:space="preserve">Groups recognised by HEFCW as under-represented in Higher </w:t>
            </w:r>
            <w:proofErr w:type="gramStart"/>
            <w:r>
              <w:rPr>
                <w:b/>
                <w:color w:val="000000" w:themeColor="text1"/>
                <w:sz w:val="22"/>
                <w:szCs w:val="22"/>
              </w:rPr>
              <w:t>Education :</w:t>
            </w:r>
            <w:proofErr w:type="gramEnd"/>
          </w:p>
          <w:p w14:paraId="1160F4B8" w14:textId="77777777" w:rsidR="005A39B5" w:rsidRDefault="005A39B5" w:rsidP="005A39B5">
            <w:pPr>
              <w:ind w:left="0" w:firstLine="0"/>
              <w:rPr>
                <w:color w:val="000000" w:themeColor="text1"/>
                <w:sz w:val="22"/>
                <w:szCs w:val="22"/>
              </w:rPr>
            </w:pPr>
            <w:r w:rsidRPr="00C1585B">
              <w:rPr>
                <w:color w:val="000000" w:themeColor="text1"/>
                <w:sz w:val="22"/>
                <w:szCs w:val="22"/>
              </w:rPr>
              <w:t xml:space="preserve">We recognise the following groups as under-represented in higher education and/or requiring additional support. </w:t>
            </w:r>
            <w:r>
              <w:rPr>
                <w:color w:val="000000" w:themeColor="text1"/>
                <w:sz w:val="22"/>
                <w:szCs w:val="22"/>
              </w:rPr>
              <w:t xml:space="preserve">Some of these groups are </w:t>
            </w:r>
            <w:r w:rsidRPr="00C1585B">
              <w:rPr>
                <w:color w:val="000000" w:themeColor="text1"/>
                <w:sz w:val="22"/>
                <w:szCs w:val="22"/>
              </w:rPr>
              <w:t>recognised by the Higher Education Statistics Agency (HESA) as a national indicator of low participation performance in HE</w:t>
            </w:r>
            <w:r>
              <w:rPr>
                <w:color w:val="000000" w:themeColor="text1"/>
                <w:sz w:val="22"/>
                <w:szCs w:val="22"/>
              </w:rPr>
              <w:t xml:space="preserve"> or identified by the Higher Education Funding Council for Wales (HEFCW) as under-represented in Higher Education. The rationale for including these groups is that Fee and Access Plan work to improve recruitment and retention of individuals from these groups contributes to national recruitment priorities and addresses inequalities which are recognised across Wales. </w:t>
            </w:r>
          </w:p>
          <w:p w14:paraId="4F98E1B4" w14:textId="77777777" w:rsidR="005A39B5" w:rsidRDefault="005A39B5" w:rsidP="005A39B5">
            <w:pPr>
              <w:ind w:left="0" w:firstLine="0"/>
              <w:rPr>
                <w:color w:val="000000" w:themeColor="text1"/>
                <w:sz w:val="22"/>
                <w:szCs w:val="22"/>
              </w:rPr>
            </w:pPr>
          </w:p>
          <w:p w14:paraId="37178C56" w14:textId="77777777" w:rsidR="005A39B5" w:rsidRDefault="005A39B5" w:rsidP="005A39B5">
            <w:pPr>
              <w:ind w:left="0" w:firstLine="0"/>
              <w:rPr>
                <w:b/>
                <w:color w:val="000000" w:themeColor="text1"/>
                <w:sz w:val="22"/>
                <w:szCs w:val="22"/>
              </w:rPr>
            </w:pPr>
          </w:p>
          <w:p w14:paraId="1D6F7FD5" w14:textId="77777777" w:rsidR="005A39B5" w:rsidRPr="00924849" w:rsidRDefault="005A39B5" w:rsidP="005A39B5">
            <w:pPr>
              <w:pStyle w:val="ListParagraph"/>
              <w:numPr>
                <w:ilvl w:val="0"/>
                <w:numId w:val="33"/>
              </w:numPr>
              <w:spacing w:after="120"/>
              <w:ind w:left="714" w:hanging="357"/>
              <w:contextualSpacing w:val="0"/>
              <w:rPr>
                <w:color w:val="000000" w:themeColor="text1"/>
                <w:sz w:val="22"/>
                <w:szCs w:val="22"/>
              </w:rPr>
            </w:pPr>
            <w:r>
              <w:rPr>
                <w:color w:val="000000" w:themeColor="text1"/>
                <w:sz w:val="22"/>
                <w:szCs w:val="22"/>
              </w:rPr>
              <w:t>Students within the bottom quintile of lower super output areas in the Welsh Index of Multiple Deprivation</w:t>
            </w:r>
          </w:p>
          <w:p w14:paraId="5987D7E2" w14:textId="77777777" w:rsidR="005A39B5" w:rsidRPr="00924849" w:rsidRDefault="005A39B5" w:rsidP="005A39B5">
            <w:pPr>
              <w:pStyle w:val="ListParagraph"/>
              <w:numPr>
                <w:ilvl w:val="0"/>
                <w:numId w:val="33"/>
              </w:numPr>
              <w:spacing w:after="120"/>
              <w:ind w:left="714" w:hanging="357"/>
              <w:contextualSpacing w:val="0"/>
              <w:rPr>
                <w:color w:val="000000" w:themeColor="text1"/>
                <w:sz w:val="22"/>
                <w:szCs w:val="22"/>
              </w:rPr>
            </w:pPr>
            <w:r w:rsidRPr="00924849">
              <w:rPr>
                <w:color w:val="000000" w:themeColor="text1"/>
                <w:sz w:val="22"/>
                <w:szCs w:val="22"/>
              </w:rPr>
              <w:t xml:space="preserve">Welsh medium students. </w:t>
            </w:r>
          </w:p>
          <w:p w14:paraId="4B71DA35" w14:textId="77777777" w:rsidR="005A39B5" w:rsidRPr="00924849" w:rsidRDefault="005A39B5" w:rsidP="005A39B5">
            <w:pPr>
              <w:pStyle w:val="ListParagraph"/>
              <w:numPr>
                <w:ilvl w:val="0"/>
                <w:numId w:val="33"/>
              </w:numPr>
              <w:spacing w:after="120"/>
              <w:ind w:left="714" w:hanging="357"/>
              <w:contextualSpacing w:val="0"/>
              <w:rPr>
                <w:color w:val="000000" w:themeColor="text1"/>
                <w:sz w:val="22"/>
                <w:szCs w:val="22"/>
              </w:rPr>
            </w:pPr>
            <w:r w:rsidRPr="00924849">
              <w:rPr>
                <w:color w:val="000000" w:themeColor="text1"/>
                <w:sz w:val="22"/>
                <w:szCs w:val="22"/>
              </w:rPr>
              <w:t xml:space="preserve">Students from UK low participation areas. </w:t>
            </w:r>
          </w:p>
          <w:p w14:paraId="69CD0CAD" w14:textId="77777777" w:rsidR="005A39B5" w:rsidRDefault="005A39B5" w:rsidP="005A39B5">
            <w:pPr>
              <w:pStyle w:val="ListParagraph"/>
              <w:numPr>
                <w:ilvl w:val="0"/>
                <w:numId w:val="33"/>
              </w:numPr>
              <w:spacing w:after="120"/>
              <w:ind w:left="714" w:hanging="357"/>
              <w:contextualSpacing w:val="0"/>
              <w:rPr>
                <w:color w:val="000000" w:themeColor="text1"/>
                <w:sz w:val="22"/>
                <w:szCs w:val="22"/>
              </w:rPr>
            </w:pPr>
            <w:r>
              <w:rPr>
                <w:color w:val="000000" w:themeColor="text1"/>
                <w:sz w:val="22"/>
                <w:szCs w:val="22"/>
              </w:rPr>
              <w:t xml:space="preserve">Students who are identified as a priority under the Reaching Wider </w:t>
            </w:r>
            <w:proofErr w:type="gramStart"/>
            <w:r>
              <w:rPr>
                <w:color w:val="000000" w:themeColor="text1"/>
                <w:sz w:val="22"/>
                <w:szCs w:val="22"/>
              </w:rPr>
              <w:t>Programme :</w:t>
            </w:r>
            <w:proofErr w:type="gramEnd"/>
          </w:p>
          <w:p w14:paraId="7A6C387D" w14:textId="77777777" w:rsidR="005A39B5" w:rsidRDefault="005A39B5" w:rsidP="005A39B5">
            <w:pPr>
              <w:pStyle w:val="ListParagraph"/>
              <w:numPr>
                <w:ilvl w:val="0"/>
                <w:numId w:val="33"/>
              </w:numPr>
              <w:spacing w:after="120"/>
              <w:ind w:left="1313" w:hanging="357"/>
              <w:contextualSpacing w:val="0"/>
              <w:rPr>
                <w:color w:val="000000" w:themeColor="text1"/>
                <w:sz w:val="22"/>
                <w:szCs w:val="22"/>
              </w:rPr>
            </w:pPr>
            <w:r>
              <w:rPr>
                <w:color w:val="000000" w:themeColor="text1"/>
                <w:sz w:val="22"/>
                <w:szCs w:val="22"/>
              </w:rPr>
              <w:t>Post-16 young people in the bottom two quintiles of Welsh Index of Multiple Deprivation</w:t>
            </w:r>
          </w:p>
          <w:p w14:paraId="24C005FA" w14:textId="77777777" w:rsidR="005A39B5" w:rsidRDefault="005A39B5" w:rsidP="005A39B5">
            <w:pPr>
              <w:pStyle w:val="ListParagraph"/>
              <w:numPr>
                <w:ilvl w:val="0"/>
                <w:numId w:val="33"/>
              </w:numPr>
              <w:spacing w:after="120"/>
              <w:ind w:left="1313" w:hanging="357"/>
              <w:contextualSpacing w:val="0"/>
              <w:rPr>
                <w:color w:val="000000" w:themeColor="text1"/>
                <w:sz w:val="22"/>
                <w:szCs w:val="22"/>
              </w:rPr>
            </w:pPr>
            <w:r>
              <w:rPr>
                <w:color w:val="000000" w:themeColor="text1"/>
                <w:sz w:val="22"/>
                <w:szCs w:val="22"/>
              </w:rPr>
              <w:t>Adults without level 4 qualifications in the bottom two quintiles of the Welsh Index of Multiple Deprivation to provide progression to level 4 provision</w:t>
            </w:r>
          </w:p>
          <w:p w14:paraId="75B21751" w14:textId="77777777" w:rsidR="005A39B5" w:rsidRDefault="005A39B5" w:rsidP="005A39B5">
            <w:pPr>
              <w:pStyle w:val="ListParagraph"/>
              <w:numPr>
                <w:ilvl w:val="0"/>
                <w:numId w:val="33"/>
              </w:numPr>
              <w:spacing w:after="120"/>
              <w:ind w:left="1313" w:hanging="357"/>
              <w:contextualSpacing w:val="0"/>
              <w:rPr>
                <w:color w:val="000000" w:themeColor="text1"/>
                <w:sz w:val="22"/>
                <w:szCs w:val="22"/>
              </w:rPr>
            </w:pPr>
            <w:r>
              <w:rPr>
                <w:color w:val="000000" w:themeColor="text1"/>
                <w:sz w:val="22"/>
                <w:szCs w:val="22"/>
              </w:rPr>
              <w:t xml:space="preserve">Care experienced applicants and carers in all age groups across Wales. </w:t>
            </w:r>
          </w:p>
          <w:p w14:paraId="4C3573EA" w14:textId="77777777" w:rsidR="005A39B5" w:rsidRDefault="005A39B5" w:rsidP="005A39B5">
            <w:pPr>
              <w:spacing w:after="120"/>
              <w:ind w:left="0" w:firstLine="0"/>
              <w:rPr>
                <w:b/>
                <w:color w:val="000000" w:themeColor="text1"/>
                <w:sz w:val="22"/>
                <w:szCs w:val="22"/>
              </w:rPr>
            </w:pPr>
          </w:p>
          <w:p w14:paraId="39ACAAA8" w14:textId="77777777" w:rsidR="005A39B5" w:rsidRDefault="005A39B5" w:rsidP="005A39B5">
            <w:pPr>
              <w:spacing w:after="120"/>
              <w:ind w:left="0" w:firstLine="0"/>
              <w:rPr>
                <w:color w:val="000000" w:themeColor="text1"/>
                <w:sz w:val="22"/>
                <w:szCs w:val="22"/>
              </w:rPr>
            </w:pPr>
            <w:r w:rsidRPr="00924849">
              <w:rPr>
                <w:b/>
                <w:color w:val="000000" w:themeColor="text1"/>
                <w:sz w:val="22"/>
                <w:szCs w:val="22"/>
              </w:rPr>
              <w:t>Other groups recognised as under-represented in Higher Education</w:t>
            </w:r>
          </w:p>
          <w:p w14:paraId="301BAFEC" w14:textId="02958BC1" w:rsidR="005A39B5" w:rsidRDefault="005A39B5" w:rsidP="005A39B5">
            <w:pPr>
              <w:spacing w:after="120"/>
              <w:ind w:left="181" w:hanging="142"/>
              <w:rPr>
                <w:color w:val="000000" w:themeColor="text1"/>
                <w:sz w:val="22"/>
                <w:szCs w:val="22"/>
              </w:rPr>
            </w:pPr>
            <w:r>
              <w:rPr>
                <w:color w:val="000000" w:themeColor="text1"/>
                <w:sz w:val="22"/>
                <w:szCs w:val="22"/>
              </w:rPr>
              <w:t>Additionally, we have included a number of groups in our plans which we have, traditionally, found difficulty in recruiting, including:</w:t>
            </w:r>
          </w:p>
          <w:p w14:paraId="3E1F2B8D" w14:textId="4CD6A228" w:rsidR="00A90357" w:rsidRDefault="00A90357" w:rsidP="005A39B5">
            <w:pPr>
              <w:spacing w:after="120"/>
              <w:ind w:left="181" w:hanging="142"/>
              <w:rPr>
                <w:color w:val="000000" w:themeColor="text1"/>
                <w:sz w:val="22"/>
                <w:szCs w:val="22"/>
              </w:rPr>
            </w:pPr>
          </w:p>
          <w:p w14:paraId="6117B285" w14:textId="3132E5C4" w:rsidR="00A90357" w:rsidRDefault="00A90357" w:rsidP="00A90357">
            <w:pPr>
              <w:spacing w:after="120"/>
              <w:rPr>
                <w:rFonts w:cs="Arial"/>
                <w:sz w:val="22"/>
                <w:szCs w:val="22"/>
              </w:rPr>
            </w:pPr>
            <w:r w:rsidRPr="0094644F">
              <w:rPr>
                <w:rFonts w:cs="Arial"/>
                <w:color w:val="000000" w:themeColor="text1"/>
                <w:sz w:val="22"/>
                <w:szCs w:val="22"/>
              </w:rPr>
              <w:t xml:space="preserve">Students with disabilities, </w:t>
            </w:r>
            <w:r w:rsidRPr="0094644F">
              <w:rPr>
                <w:rFonts w:cs="Arial"/>
                <w:sz w:val="22"/>
                <w:szCs w:val="22"/>
              </w:rPr>
              <w:t>including specific learning disabilities and those living with long-term mental health challenges</w:t>
            </w:r>
          </w:p>
          <w:p w14:paraId="08A56E04" w14:textId="6B36E53C" w:rsidR="00A90357" w:rsidRDefault="00A90357" w:rsidP="00A90357">
            <w:pPr>
              <w:spacing w:after="120"/>
              <w:rPr>
                <w:rFonts w:cs="Arial"/>
                <w:color w:val="000000" w:themeColor="text1"/>
                <w:sz w:val="22"/>
                <w:szCs w:val="22"/>
              </w:rPr>
            </w:pPr>
            <w:r w:rsidRPr="0094644F">
              <w:rPr>
                <w:rFonts w:cs="Arial"/>
                <w:color w:val="000000" w:themeColor="text1"/>
                <w:sz w:val="22"/>
                <w:szCs w:val="22"/>
              </w:rPr>
              <w:t>Mature Students</w:t>
            </w:r>
          </w:p>
          <w:p w14:paraId="34050F3B" w14:textId="1BB98D17" w:rsidR="00A90357" w:rsidRDefault="00A90357" w:rsidP="00A90357">
            <w:pPr>
              <w:spacing w:after="120"/>
              <w:rPr>
                <w:rFonts w:cs="Arial"/>
                <w:color w:val="000000" w:themeColor="text1"/>
                <w:sz w:val="22"/>
                <w:szCs w:val="22"/>
              </w:rPr>
            </w:pPr>
            <w:r w:rsidRPr="0094644F">
              <w:rPr>
                <w:rFonts w:cs="Arial"/>
                <w:color w:val="000000" w:themeColor="text1"/>
                <w:sz w:val="22"/>
                <w:szCs w:val="22"/>
              </w:rPr>
              <w:t>Students from a minority ethnic background</w:t>
            </w:r>
          </w:p>
          <w:p w14:paraId="4ED18F31" w14:textId="77777777" w:rsidR="006F1D1D" w:rsidRPr="0094644F" w:rsidRDefault="006F1D1D" w:rsidP="006F1D1D">
            <w:pPr>
              <w:widowControl w:val="0"/>
              <w:spacing w:after="120"/>
              <w:ind w:left="321" w:firstLine="36"/>
              <w:rPr>
                <w:rFonts w:cs="Arial"/>
                <w:color w:val="000000" w:themeColor="text1"/>
                <w:sz w:val="22"/>
                <w:szCs w:val="22"/>
              </w:rPr>
            </w:pPr>
            <w:r w:rsidRPr="0094644F">
              <w:rPr>
                <w:rFonts w:cs="Arial"/>
                <w:color w:val="000000" w:themeColor="text1"/>
                <w:sz w:val="22"/>
                <w:szCs w:val="22"/>
              </w:rPr>
              <w:t>Care leavers, young carers and estranged/unsupported students</w:t>
            </w:r>
          </w:p>
          <w:p w14:paraId="38667CE1" w14:textId="3A5C1F12" w:rsidR="006F1D1D" w:rsidRDefault="006F1D1D" w:rsidP="00A90357">
            <w:pPr>
              <w:spacing w:after="120"/>
              <w:rPr>
                <w:rFonts w:cs="Arial"/>
                <w:sz w:val="22"/>
                <w:szCs w:val="22"/>
              </w:rPr>
            </w:pPr>
            <w:r w:rsidRPr="0094644F">
              <w:rPr>
                <w:rFonts w:cs="Arial"/>
                <w:color w:val="000000" w:themeColor="text1"/>
                <w:sz w:val="22"/>
                <w:szCs w:val="22"/>
              </w:rPr>
              <w:t>Students from low income backgrounds</w:t>
            </w:r>
          </w:p>
          <w:p w14:paraId="2709590F" w14:textId="77777777" w:rsidR="006F1D1D" w:rsidRPr="0094644F" w:rsidRDefault="006F1D1D" w:rsidP="006F1D1D">
            <w:pPr>
              <w:widowControl w:val="0"/>
              <w:spacing w:after="120"/>
              <w:rPr>
                <w:rFonts w:cs="Arial"/>
                <w:color w:val="000000" w:themeColor="text1"/>
                <w:sz w:val="22"/>
                <w:szCs w:val="22"/>
              </w:rPr>
            </w:pPr>
            <w:r w:rsidRPr="0094644F">
              <w:rPr>
                <w:rFonts w:cs="Arial"/>
                <w:color w:val="000000" w:themeColor="text1"/>
                <w:sz w:val="22"/>
                <w:szCs w:val="22"/>
              </w:rPr>
              <w:t xml:space="preserve">First in family to attend Higher Education </w:t>
            </w:r>
          </w:p>
          <w:p w14:paraId="13A860C5" w14:textId="7B003EE4" w:rsidR="00A90357" w:rsidRDefault="006F1D1D" w:rsidP="00A90357">
            <w:pPr>
              <w:spacing w:after="120"/>
              <w:rPr>
                <w:color w:val="000000" w:themeColor="text1"/>
                <w:sz w:val="22"/>
                <w:szCs w:val="22"/>
              </w:rPr>
            </w:pPr>
            <w:r>
              <w:rPr>
                <w:color w:val="000000" w:themeColor="text1"/>
                <w:sz w:val="22"/>
                <w:szCs w:val="22"/>
              </w:rPr>
              <w:t>Part-time students</w:t>
            </w:r>
          </w:p>
          <w:p w14:paraId="5379A232" w14:textId="77777777" w:rsidR="006F1D1D" w:rsidRDefault="006F1D1D" w:rsidP="00194F5F">
            <w:pPr>
              <w:spacing w:after="120"/>
              <w:rPr>
                <w:color w:val="000000" w:themeColor="text1"/>
                <w:sz w:val="22"/>
                <w:szCs w:val="22"/>
              </w:rPr>
            </w:pPr>
          </w:p>
          <w:p w14:paraId="738D7E9C" w14:textId="77777777" w:rsidR="005A39B5" w:rsidRPr="0094644F" w:rsidRDefault="005A39B5" w:rsidP="005A39B5">
            <w:pPr>
              <w:rPr>
                <w:rFonts w:cs="Arial"/>
                <w:sz w:val="22"/>
                <w:szCs w:val="22"/>
              </w:rPr>
            </w:pPr>
          </w:p>
          <w:p w14:paraId="163F2A53" w14:textId="77777777" w:rsidR="005A39B5" w:rsidRPr="00294FAE" w:rsidRDefault="005A39B5" w:rsidP="005A39B5">
            <w:pPr>
              <w:spacing w:after="120"/>
              <w:ind w:left="181" w:hanging="142"/>
              <w:rPr>
                <w:color w:val="000000" w:themeColor="text1"/>
                <w:sz w:val="22"/>
                <w:szCs w:val="22"/>
              </w:rPr>
            </w:pPr>
          </w:p>
          <w:p w14:paraId="10476B2D" w14:textId="77777777" w:rsidR="005A39B5" w:rsidRPr="00294FAE" w:rsidRDefault="005A39B5" w:rsidP="005A39B5">
            <w:pPr>
              <w:widowControl w:val="0"/>
              <w:spacing w:after="120"/>
              <w:ind w:left="357" w:firstLine="0"/>
              <w:rPr>
                <w:color w:val="000000" w:themeColor="text1"/>
                <w:sz w:val="22"/>
                <w:szCs w:val="22"/>
              </w:rPr>
            </w:pPr>
            <w:r>
              <w:rPr>
                <w:color w:val="000000" w:themeColor="text1"/>
                <w:sz w:val="22"/>
                <w:szCs w:val="22"/>
              </w:rPr>
              <w:t xml:space="preserve">We also recognise our responsibility to all students with protected characteristics, and will carefully monitor the progression and attainment of these groups in line with the stated aim of our Strategic </w:t>
            </w:r>
            <w:proofErr w:type="gramStart"/>
            <w:r>
              <w:rPr>
                <w:color w:val="000000" w:themeColor="text1"/>
                <w:sz w:val="22"/>
                <w:szCs w:val="22"/>
              </w:rPr>
              <w:t>Equality  Plan</w:t>
            </w:r>
            <w:proofErr w:type="gramEnd"/>
            <w:r>
              <w:rPr>
                <w:color w:val="000000" w:themeColor="text1"/>
                <w:sz w:val="22"/>
                <w:szCs w:val="22"/>
              </w:rPr>
              <w:t xml:space="preserve"> to ‘foster an inclusive learning and working community which is free from discrimination, harassment and victimisation, and where all our staff and learners are supported, feel respected and can realise their potential.’</w:t>
            </w:r>
          </w:p>
          <w:p w14:paraId="1EE75998" w14:textId="77777777" w:rsidR="005A39B5" w:rsidRPr="00C1585B" w:rsidRDefault="005A39B5" w:rsidP="005A39B5">
            <w:pPr>
              <w:pStyle w:val="ListParagraph"/>
              <w:widowControl w:val="0"/>
              <w:ind w:firstLine="0"/>
              <w:rPr>
                <w:color w:val="000000" w:themeColor="text1"/>
                <w:sz w:val="22"/>
                <w:szCs w:val="22"/>
              </w:rPr>
            </w:pPr>
          </w:p>
          <w:p w14:paraId="2C64D132" w14:textId="77777777" w:rsidR="005A39B5" w:rsidRPr="00C1585B" w:rsidRDefault="005A39B5" w:rsidP="005A39B5">
            <w:pPr>
              <w:widowControl w:val="0"/>
              <w:rPr>
                <w:color w:val="000000" w:themeColor="text1"/>
                <w:sz w:val="22"/>
                <w:szCs w:val="22"/>
              </w:rPr>
            </w:pPr>
            <w:r w:rsidRPr="00C1585B">
              <w:rPr>
                <w:color w:val="000000" w:themeColor="text1"/>
                <w:sz w:val="22"/>
                <w:szCs w:val="22"/>
              </w:rPr>
              <w:t>Fee Plan investments support these students in two ways:</w:t>
            </w:r>
          </w:p>
          <w:p w14:paraId="32BA2EC0" w14:textId="77777777" w:rsidR="005A39B5" w:rsidRPr="00C1585B" w:rsidRDefault="005A39B5" w:rsidP="005A39B5">
            <w:pPr>
              <w:pStyle w:val="ListParagraph"/>
              <w:widowControl w:val="0"/>
              <w:numPr>
                <w:ilvl w:val="0"/>
                <w:numId w:val="34"/>
              </w:numPr>
              <w:rPr>
                <w:color w:val="000000" w:themeColor="text1"/>
                <w:sz w:val="22"/>
                <w:szCs w:val="22"/>
              </w:rPr>
            </w:pPr>
            <w:r w:rsidRPr="00C1585B">
              <w:rPr>
                <w:color w:val="000000" w:themeColor="text1"/>
                <w:sz w:val="22"/>
                <w:szCs w:val="22"/>
              </w:rPr>
              <w:t xml:space="preserve">Through activities targeted at groups under-represented in higher education and intended to </w:t>
            </w:r>
            <w:r>
              <w:rPr>
                <w:color w:val="000000" w:themeColor="text1"/>
                <w:sz w:val="22"/>
                <w:szCs w:val="22"/>
              </w:rPr>
              <w:t>widen participation</w:t>
            </w:r>
            <w:r w:rsidRPr="00C1585B">
              <w:rPr>
                <w:color w:val="000000" w:themeColor="text1"/>
                <w:sz w:val="22"/>
                <w:szCs w:val="22"/>
              </w:rPr>
              <w:t xml:space="preserve"> and improve retention.</w:t>
            </w:r>
          </w:p>
          <w:p w14:paraId="2BA04F72" w14:textId="77777777" w:rsidR="005A39B5" w:rsidRPr="00C1585B" w:rsidRDefault="005A39B5" w:rsidP="005A39B5">
            <w:pPr>
              <w:pStyle w:val="ListParagraph"/>
              <w:widowControl w:val="0"/>
              <w:ind w:left="1077" w:firstLine="0"/>
              <w:rPr>
                <w:color w:val="000000" w:themeColor="text1"/>
                <w:sz w:val="22"/>
                <w:szCs w:val="22"/>
              </w:rPr>
            </w:pPr>
          </w:p>
          <w:p w14:paraId="40149E22" w14:textId="77777777" w:rsidR="005A39B5" w:rsidRDefault="005A39B5" w:rsidP="005A39B5">
            <w:pPr>
              <w:pStyle w:val="ListParagraph"/>
              <w:widowControl w:val="0"/>
              <w:numPr>
                <w:ilvl w:val="0"/>
                <w:numId w:val="34"/>
              </w:numPr>
              <w:rPr>
                <w:color w:val="000000" w:themeColor="text1"/>
                <w:sz w:val="22"/>
                <w:szCs w:val="22"/>
              </w:rPr>
            </w:pPr>
            <w:r w:rsidRPr="00C1585B">
              <w:rPr>
                <w:color w:val="000000" w:themeColor="text1"/>
                <w:sz w:val="22"/>
                <w:szCs w:val="22"/>
              </w:rPr>
              <w:t>Through activities accessible by all students but where the specific needs of students from under-represented groups are given additional attention to ensure that all potential barriers to access are removed and where the potential benefits to students under-represented in higher education are emphasised. There are also activities which, though accessible to all students, are more likely to be accessed by students who need additional support (e.g. our Student Support services activities).</w:t>
            </w:r>
          </w:p>
          <w:p w14:paraId="72035065" w14:textId="77777777" w:rsidR="005A39B5" w:rsidRDefault="005A39B5" w:rsidP="005A39B5">
            <w:pPr>
              <w:widowControl w:val="0"/>
              <w:ind w:left="0" w:firstLine="0"/>
              <w:rPr>
                <w:color w:val="000000" w:themeColor="text1"/>
                <w:sz w:val="22"/>
                <w:szCs w:val="22"/>
              </w:rPr>
            </w:pPr>
          </w:p>
          <w:p w14:paraId="04302EED" w14:textId="77777777" w:rsidR="005A39B5" w:rsidRDefault="005A39B5" w:rsidP="005A39B5">
            <w:pPr>
              <w:widowControl w:val="0"/>
              <w:ind w:left="0" w:firstLine="0"/>
              <w:rPr>
                <w:color w:val="000000" w:themeColor="text1"/>
                <w:sz w:val="22"/>
                <w:szCs w:val="22"/>
              </w:rPr>
            </w:pPr>
            <w:proofErr w:type="gramStart"/>
            <w:r>
              <w:rPr>
                <w:b/>
                <w:color w:val="000000" w:themeColor="text1"/>
                <w:sz w:val="22"/>
                <w:szCs w:val="22"/>
              </w:rPr>
              <w:t>Widening  participation</w:t>
            </w:r>
            <w:proofErr w:type="gramEnd"/>
            <w:r>
              <w:rPr>
                <w:b/>
                <w:color w:val="000000" w:themeColor="text1"/>
                <w:sz w:val="22"/>
                <w:szCs w:val="22"/>
              </w:rPr>
              <w:t xml:space="preserve"> Data Enhancement Initiative and Refreshed Strategies</w:t>
            </w:r>
          </w:p>
          <w:p w14:paraId="4784F3DE" w14:textId="77777777" w:rsidR="005A39B5" w:rsidRDefault="005A39B5" w:rsidP="005A39B5">
            <w:pPr>
              <w:widowControl w:val="0"/>
              <w:ind w:left="0" w:firstLine="0"/>
              <w:rPr>
                <w:color w:val="000000" w:themeColor="text1"/>
                <w:sz w:val="22"/>
                <w:szCs w:val="22"/>
              </w:rPr>
            </w:pPr>
            <w:r>
              <w:rPr>
                <w:color w:val="000000" w:themeColor="text1"/>
                <w:sz w:val="22"/>
                <w:szCs w:val="22"/>
              </w:rPr>
              <w:t>As part of our work to improve our Fee and Access Plans and ensure that activities are better targeted at those students who will benefit most, we are investing in a data enhancement project to run in 2021/22 which will have several strands:</w:t>
            </w:r>
          </w:p>
          <w:p w14:paraId="528C6736" w14:textId="77777777" w:rsidR="005A39B5" w:rsidRDefault="005A39B5" w:rsidP="005A39B5">
            <w:pPr>
              <w:widowControl w:val="0"/>
              <w:ind w:left="0" w:firstLine="0"/>
              <w:rPr>
                <w:color w:val="000000" w:themeColor="text1"/>
                <w:sz w:val="22"/>
                <w:szCs w:val="22"/>
              </w:rPr>
            </w:pPr>
          </w:p>
          <w:p w14:paraId="6F605B1B" w14:textId="77777777" w:rsidR="005A39B5" w:rsidRPr="00294FAE" w:rsidRDefault="005A39B5" w:rsidP="005A39B5">
            <w:pPr>
              <w:pStyle w:val="ListParagraph"/>
              <w:widowControl w:val="0"/>
              <w:numPr>
                <w:ilvl w:val="0"/>
                <w:numId w:val="35"/>
              </w:numPr>
              <w:rPr>
                <w:color w:val="000000" w:themeColor="text1"/>
                <w:sz w:val="22"/>
                <w:szCs w:val="22"/>
              </w:rPr>
            </w:pPr>
            <w:r w:rsidRPr="00294FAE">
              <w:rPr>
                <w:color w:val="000000" w:themeColor="text1"/>
                <w:sz w:val="22"/>
                <w:szCs w:val="22"/>
              </w:rPr>
              <w:t xml:space="preserve">A deep dive </w:t>
            </w:r>
            <w:proofErr w:type="gramStart"/>
            <w:r w:rsidRPr="00294FAE">
              <w:rPr>
                <w:color w:val="000000" w:themeColor="text1"/>
                <w:sz w:val="22"/>
                <w:szCs w:val="22"/>
              </w:rPr>
              <w:t>into  the</w:t>
            </w:r>
            <w:proofErr w:type="gramEnd"/>
            <w:r w:rsidRPr="00294FAE">
              <w:rPr>
                <w:color w:val="000000" w:themeColor="text1"/>
                <w:sz w:val="22"/>
                <w:szCs w:val="22"/>
              </w:rPr>
              <w:t xml:space="preserve"> datasets available for monitoring widening  participation groups to give us a clearer view of our performance across the last five years and enable robust target-setting for the future.</w:t>
            </w:r>
          </w:p>
          <w:p w14:paraId="5E940881" w14:textId="77777777" w:rsidR="005A39B5" w:rsidRDefault="005A39B5" w:rsidP="005A39B5">
            <w:pPr>
              <w:pStyle w:val="ListParagraph"/>
              <w:widowControl w:val="0"/>
              <w:numPr>
                <w:ilvl w:val="0"/>
                <w:numId w:val="35"/>
              </w:numPr>
              <w:rPr>
                <w:color w:val="000000" w:themeColor="text1"/>
                <w:sz w:val="22"/>
                <w:szCs w:val="22"/>
              </w:rPr>
            </w:pPr>
            <w:r w:rsidRPr="00294FAE">
              <w:rPr>
                <w:color w:val="000000" w:themeColor="text1"/>
                <w:sz w:val="22"/>
                <w:szCs w:val="22"/>
              </w:rPr>
              <w:t xml:space="preserve">Work to better understand the progression pathways of widening participation groups and tracking of these to ensure that we have better data on the student journey from application to graduation and beyond. This will enable us to have more information on any gaps in attainment and a clearer picture of where additional support should be given in future. </w:t>
            </w:r>
          </w:p>
          <w:p w14:paraId="701713B4" w14:textId="77777777" w:rsidR="005A39B5" w:rsidRPr="00294FAE" w:rsidRDefault="005A39B5" w:rsidP="005A39B5">
            <w:pPr>
              <w:pStyle w:val="ListParagraph"/>
              <w:widowControl w:val="0"/>
              <w:numPr>
                <w:ilvl w:val="0"/>
                <w:numId w:val="35"/>
              </w:numPr>
              <w:rPr>
                <w:color w:val="000000" w:themeColor="text1"/>
                <w:sz w:val="22"/>
                <w:szCs w:val="22"/>
              </w:rPr>
            </w:pPr>
            <w:r w:rsidRPr="00294FAE">
              <w:rPr>
                <w:color w:val="000000" w:themeColor="text1"/>
                <w:sz w:val="22"/>
                <w:szCs w:val="22"/>
              </w:rPr>
              <w:t xml:space="preserve">Alongside this, we </w:t>
            </w:r>
            <w:r>
              <w:rPr>
                <w:color w:val="000000" w:themeColor="text1"/>
                <w:sz w:val="22"/>
                <w:szCs w:val="22"/>
              </w:rPr>
              <w:t>are</w:t>
            </w:r>
            <w:r w:rsidRPr="00294FAE">
              <w:rPr>
                <w:color w:val="000000" w:themeColor="text1"/>
                <w:sz w:val="22"/>
                <w:szCs w:val="22"/>
              </w:rPr>
              <w:t xml:space="preserve"> refreshing our Widening Participation Strategy</w:t>
            </w:r>
            <w:r>
              <w:rPr>
                <w:color w:val="000000" w:themeColor="text1"/>
                <w:sz w:val="22"/>
                <w:szCs w:val="22"/>
              </w:rPr>
              <w:t>. This Fee and Access Plan has been drafted alongside development in the two strands noted above and, t</w:t>
            </w:r>
            <w:r w:rsidRPr="00294FAE">
              <w:rPr>
                <w:color w:val="000000" w:themeColor="text1"/>
                <w:sz w:val="22"/>
                <w:szCs w:val="22"/>
              </w:rPr>
              <w:t xml:space="preserve">ogether with our Strategic Equality Plan and Reaching Wider Strategy, </w:t>
            </w:r>
            <w:r>
              <w:rPr>
                <w:color w:val="000000" w:themeColor="text1"/>
                <w:sz w:val="22"/>
                <w:szCs w:val="22"/>
              </w:rPr>
              <w:t>is helping to ensure</w:t>
            </w:r>
            <w:r w:rsidRPr="00294FAE">
              <w:rPr>
                <w:color w:val="000000" w:themeColor="text1"/>
                <w:sz w:val="22"/>
                <w:szCs w:val="22"/>
              </w:rPr>
              <w:t xml:space="preserve"> full alignment between all of our widening participation plans. </w:t>
            </w:r>
          </w:p>
          <w:p w14:paraId="405BCE3C" w14:textId="77777777" w:rsidR="005A39B5" w:rsidRPr="00294FAE" w:rsidRDefault="005A39B5" w:rsidP="005A39B5">
            <w:pPr>
              <w:widowControl w:val="0"/>
              <w:ind w:left="0" w:firstLine="0"/>
              <w:rPr>
                <w:color w:val="000000" w:themeColor="text1"/>
                <w:sz w:val="22"/>
                <w:szCs w:val="22"/>
              </w:rPr>
            </w:pPr>
          </w:p>
          <w:p w14:paraId="1D03B8BA" w14:textId="77777777" w:rsidR="005A39B5" w:rsidRPr="00343B5C" w:rsidRDefault="005A39B5" w:rsidP="005A39B5">
            <w:pPr>
              <w:spacing w:after="120"/>
              <w:ind w:left="33" w:firstLine="0"/>
            </w:pPr>
          </w:p>
        </w:tc>
      </w:tr>
      <w:tr w:rsidR="005A39B5" w:rsidRPr="00343B5C" w14:paraId="55B61756" w14:textId="77777777" w:rsidTr="00215C7B">
        <w:trPr>
          <w:trHeight w:val="154"/>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EF2D1" w14:textId="0D643666" w:rsidR="005A39B5" w:rsidRPr="00343B5C" w:rsidRDefault="005A39B5" w:rsidP="007C5075">
            <w:pPr>
              <w:pStyle w:val="Heading2"/>
              <w:jc w:val="center"/>
              <w:rPr>
                <w:b/>
              </w:rPr>
            </w:pPr>
            <w:r w:rsidRPr="00343B5C">
              <w:rPr>
                <w:b/>
              </w:rPr>
              <w:lastRenderedPageBreak/>
              <w:t xml:space="preserve">Section 4 </w:t>
            </w:r>
            <w:r>
              <w:rPr>
                <w:b/>
              </w:rPr>
              <w:t>–</w:t>
            </w:r>
            <w:r w:rsidRPr="00343B5C">
              <w:rPr>
                <w:b/>
              </w:rPr>
              <w:t xml:space="preserve"> Objectives</w:t>
            </w:r>
            <w:r>
              <w:rPr>
                <w:b/>
              </w:rPr>
              <w:t xml:space="preserve"> </w:t>
            </w:r>
            <w:r w:rsidRPr="00343B5C">
              <w:rPr>
                <w:b/>
              </w:rPr>
              <w:t>as they relate to supporting equality of opportunity and the promotion of HE</w:t>
            </w:r>
          </w:p>
        </w:tc>
      </w:tr>
      <w:tr w:rsidR="005A39B5" w:rsidRPr="00343B5C" w14:paraId="2CE00778" w14:textId="77777777" w:rsidTr="00215C7B">
        <w:trPr>
          <w:trHeight w:val="26"/>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A2F29" w14:textId="77777777" w:rsidR="005A39B5" w:rsidRPr="00343B5C" w:rsidRDefault="005A39B5" w:rsidP="005A39B5">
            <w:pPr>
              <w:pStyle w:val="Heading3"/>
              <w:jc w:val="center"/>
              <w:rPr>
                <w:rFonts w:cs="Arial"/>
                <w:b/>
                <w:color w:val="auto"/>
              </w:rPr>
            </w:pPr>
            <w:r w:rsidRPr="00343B5C">
              <w:rPr>
                <w:rFonts w:ascii="Arial" w:hAnsi="Arial" w:cs="Arial"/>
                <w:b/>
                <w:color w:val="auto"/>
              </w:rPr>
              <w:t>Section 4.1 - Equality of Opportunity</w:t>
            </w:r>
          </w:p>
        </w:tc>
      </w:tr>
      <w:tr w:rsidR="005A39B5" w:rsidRPr="00343B5C" w14:paraId="03B5F569" w14:textId="77777777" w:rsidTr="00B94A0B">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1DB6B68D" w14:textId="77777777" w:rsidR="005A39B5" w:rsidRPr="00343B5C" w:rsidRDefault="005A39B5" w:rsidP="005A39B5">
            <w:pPr>
              <w:spacing w:after="120"/>
              <w:ind w:left="33" w:firstLine="0"/>
              <w:jc w:val="center"/>
            </w:pPr>
            <w:r w:rsidRPr="00343B5C">
              <w:t>Objective 1</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058613E5" w14:textId="77777777" w:rsidR="005A39B5" w:rsidRPr="00A014F0" w:rsidRDefault="005A39B5" w:rsidP="005A39B5">
            <w:pPr>
              <w:pStyle w:val="Default"/>
              <w:ind w:left="322" w:firstLine="8"/>
              <w:rPr>
                <w:color w:val="auto"/>
              </w:rPr>
            </w:pPr>
            <w:r w:rsidRPr="00C1585B">
              <w:rPr>
                <w:i/>
                <w:color w:val="000000" w:themeColor="text1"/>
                <w:sz w:val="22"/>
                <w:szCs w:val="22"/>
              </w:rPr>
              <w:t xml:space="preserve">Promote wider and fairer </w:t>
            </w:r>
            <w:r>
              <w:rPr>
                <w:i/>
                <w:color w:val="000000" w:themeColor="text1"/>
                <w:sz w:val="22"/>
                <w:szCs w:val="22"/>
              </w:rPr>
              <w:t>participation in</w:t>
            </w:r>
            <w:r w:rsidRPr="00C1585B">
              <w:rPr>
                <w:i/>
                <w:color w:val="000000" w:themeColor="text1"/>
                <w:sz w:val="22"/>
                <w:szCs w:val="22"/>
              </w:rPr>
              <w:t xml:space="preserve"> higher education, raising educational aspirations and helping to prepare students from under-represented groups for higher education</w:t>
            </w:r>
            <w:r w:rsidRPr="00343B5C">
              <w:rPr>
                <w:color w:val="auto"/>
              </w:rPr>
              <w:t xml:space="preserve">. </w:t>
            </w:r>
          </w:p>
        </w:tc>
      </w:tr>
      <w:tr w:rsidR="005A39B5" w:rsidRPr="00343B5C" w14:paraId="778A285F" w14:textId="77777777" w:rsidTr="00B94A0B">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76947FFA" w14:textId="77777777" w:rsidR="005A39B5" w:rsidRPr="00343B5C" w:rsidRDefault="005A39B5" w:rsidP="005A39B5">
            <w:pPr>
              <w:spacing w:after="120"/>
              <w:ind w:left="33" w:firstLine="0"/>
              <w:jc w:val="center"/>
            </w:pPr>
            <w:r w:rsidRPr="00343B5C">
              <w:lastRenderedPageBreak/>
              <w:t>Objective 2</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39FE9AEC" w14:textId="77777777" w:rsidR="005A39B5" w:rsidRPr="00B2475B" w:rsidRDefault="005A39B5" w:rsidP="005A39B5">
            <w:pPr>
              <w:pStyle w:val="Default"/>
              <w:ind w:left="322"/>
              <w:rPr>
                <w:color w:val="auto"/>
              </w:rPr>
            </w:pPr>
            <w:r>
              <w:rPr>
                <w:i/>
                <w:color w:val="000000" w:themeColor="text1"/>
                <w:sz w:val="22"/>
                <w:szCs w:val="22"/>
              </w:rPr>
              <w:t xml:space="preserve">Improve the retention of students from groups under-represented in higher education and support their progression and completion through the provision </w:t>
            </w:r>
            <w:proofErr w:type="gramStart"/>
            <w:r>
              <w:rPr>
                <w:i/>
                <w:color w:val="000000" w:themeColor="text1"/>
                <w:sz w:val="22"/>
                <w:szCs w:val="22"/>
              </w:rPr>
              <w:t xml:space="preserve">of </w:t>
            </w:r>
            <w:r w:rsidRPr="00C1585B">
              <w:rPr>
                <w:i/>
                <w:color w:val="000000" w:themeColor="text1"/>
                <w:sz w:val="22"/>
                <w:szCs w:val="22"/>
              </w:rPr>
              <w:t xml:space="preserve"> high</w:t>
            </w:r>
            <w:proofErr w:type="gramEnd"/>
            <w:r w:rsidRPr="00C1585B">
              <w:rPr>
                <w:i/>
                <w:color w:val="000000" w:themeColor="text1"/>
                <w:sz w:val="22"/>
                <w:szCs w:val="22"/>
              </w:rPr>
              <w:t xml:space="preserve"> quality</w:t>
            </w:r>
            <w:r>
              <w:rPr>
                <w:i/>
                <w:color w:val="000000" w:themeColor="text1"/>
                <w:sz w:val="22"/>
                <w:szCs w:val="22"/>
              </w:rPr>
              <w:t xml:space="preserve"> academic,</w:t>
            </w:r>
            <w:r w:rsidRPr="00C1585B">
              <w:rPr>
                <w:i/>
                <w:color w:val="000000" w:themeColor="text1"/>
                <w:sz w:val="22"/>
                <w:szCs w:val="22"/>
              </w:rPr>
              <w:t xml:space="preserve"> welfare and financial support</w:t>
            </w:r>
          </w:p>
        </w:tc>
      </w:tr>
      <w:tr w:rsidR="005A39B5" w:rsidRPr="00343B5C" w14:paraId="0FC49FF9" w14:textId="77777777" w:rsidTr="00B94A0B">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0A3BC026" w14:textId="77777777" w:rsidR="005A39B5" w:rsidRPr="00343B5C" w:rsidRDefault="005A39B5" w:rsidP="005A39B5">
            <w:pPr>
              <w:spacing w:after="120"/>
              <w:ind w:left="33" w:firstLine="0"/>
              <w:jc w:val="center"/>
            </w:pPr>
            <w:r w:rsidRPr="00343B5C">
              <w:t>Objective 3</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31471A31" w14:textId="77777777" w:rsidR="005A39B5" w:rsidRPr="00343B5C" w:rsidRDefault="005A39B5" w:rsidP="005A39B5">
            <w:pPr>
              <w:spacing w:after="120"/>
              <w:ind w:left="322" w:firstLine="0"/>
            </w:pPr>
            <w:bookmarkStart w:id="6" w:name="_Toc65494188"/>
            <w:r w:rsidRPr="00294FAE">
              <w:rPr>
                <w:rFonts w:cs="Arial"/>
                <w:i/>
                <w:color w:val="000000" w:themeColor="text1"/>
                <w:sz w:val="22"/>
                <w:szCs w:val="22"/>
              </w:rPr>
              <w:t>Improve the higher education experience for students from under-represented groups</w:t>
            </w:r>
            <w:bookmarkEnd w:id="6"/>
          </w:p>
        </w:tc>
      </w:tr>
      <w:tr w:rsidR="005A39B5" w:rsidRPr="00343B5C" w14:paraId="336D33DE" w14:textId="77777777" w:rsidTr="00B94A0B">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0539C297" w14:textId="77777777" w:rsidR="005A39B5" w:rsidRPr="00343B5C" w:rsidRDefault="005A39B5" w:rsidP="005A39B5">
            <w:pPr>
              <w:spacing w:after="120"/>
              <w:ind w:left="33" w:firstLine="0"/>
              <w:jc w:val="center"/>
            </w:pPr>
            <w:r>
              <w:t>Objective 4</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13EAD800" w14:textId="77777777" w:rsidR="005A39B5" w:rsidRPr="00294FAE" w:rsidRDefault="005A39B5" w:rsidP="005A39B5">
            <w:pPr>
              <w:spacing w:after="120"/>
              <w:ind w:left="322" w:firstLine="0"/>
              <w:rPr>
                <w:rFonts w:cs="Arial"/>
                <w:i/>
                <w:color w:val="000000" w:themeColor="text1"/>
                <w:sz w:val="22"/>
                <w:szCs w:val="22"/>
              </w:rPr>
            </w:pPr>
            <w:bookmarkStart w:id="7" w:name="_Toc65494190"/>
            <w:r w:rsidRPr="00294FAE">
              <w:rPr>
                <w:rFonts w:cs="Arial"/>
                <w:i/>
                <w:color w:val="000000" w:themeColor="text1"/>
                <w:sz w:val="22"/>
                <w:szCs w:val="22"/>
              </w:rPr>
              <w:t>Improve the employability prospects of students under-represented in higher education through targeted programmes to increase skills, skills awareness, ambition and confidence</w:t>
            </w:r>
            <w:bookmarkEnd w:id="7"/>
          </w:p>
        </w:tc>
      </w:tr>
      <w:tr w:rsidR="005A39B5" w:rsidRPr="00343B5C" w14:paraId="20377BC5" w14:textId="77777777" w:rsidTr="00B94A0B">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7F6BAA81" w14:textId="77777777" w:rsidR="005A39B5" w:rsidRDefault="005A39B5" w:rsidP="005A39B5">
            <w:pPr>
              <w:spacing w:after="120"/>
              <w:ind w:left="33" w:firstLine="0"/>
              <w:jc w:val="center"/>
            </w:pPr>
            <w:r>
              <w:t>Objective 5</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6079156A" w14:textId="77777777" w:rsidR="005A39B5" w:rsidRPr="00294FAE" w:rsidRDefault="005A39B5" w:rsidP="005A39B5">
            <w:pPr>
              <w:spacing w:after="120"/>
              <w:ind w:left="322" w:firstLine="0"/>
              <w:rPr>
                <w:rFonts w:cs="Arial"/>
                <w:i/>
                <w:color w:val="000000" w:themeColor="text1"/>
                <w:sz w:val="22"/>
                <w:szCs w:val="22"/>
              </w:rPr>
            </w:pPr>
            <w:bookmarkStart w:id="8" w:name="_Toc65494191"/>
            <w:r w:rsidRPr="00294FAE">
              <w:rPr>
                <w:rFonts w:cs="Arial"/>
                <w:i/>
                <w:color w:val="000000" w:themeColor="text1"/>
                <w:sz w:val="22"/>
                <w:szCs w:val="22"/>
              </w:rPr>
              <w:t>Expand bilingualism through the provision of additional academic and service provision through the medium of Welsh</w:t>
            </w:r>
            <w:bookmarkEnd w:id="8"/>
          </w:p>
        </w:tc>
      </w:tr>
      <w:tr w:rsidR="005A39B5" w:rsidRPr="00343B5C" w14:paraId="20DC642B" w14:textId="77777777" w:rsidTr="00215C7B">
        <w:trPr>
          <w:trHeight w:val="16"/>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54387" w14:textId="77777777" w:rsidR="005A39B5" w:rsidRPr="00343B5C" w:rsidRDefault="005A39B5" w:rsidP="005A39B5">
            <w:pPr>
              <w:pStyle w:val="Heading3"/>
              <w:jc w:val="center"/>
              <w:rPr>
                <w:rFonts w:cs="Arial"/>
                <w:b/>
                <w:color w:val="auto"/>
              </w:rPr>
            </w:pPr>
            <w:r w:rsidRPr="00343B5C">
              <w:rPr>
                <w:rFonts w:ascii="Arial" w:hAnsi="Arial" w:cs="Arial"/>
                <w:b/>
                <w:color w:val="auto"/>
              </w:rPr>
              <w:t>Section 4.2 - Promotion of higher education</w:t>
            </w:r>
          </w:p>
        </w:tc>
      </w:tr>
    </w:tbl>
    <w:p w14:paraId="6DA5C715" w14:textId="77777777" w:rsidR="00FF400E" w:rsidRPr="00A014F0" w:rsidRDefault="00FF400E" w:rsidP="00FF400E">
      <w:pPr>
        <w:ind w:left="0" w:firstLine="0"/>
      </w:pPr>
      <w:r>
        <w:t xml:space="preserve"> </w:t>
      </w:r>
    </w:p>
    <w:tbl>
      <w:tblPr>
        <w:tblStyle w:val="TableGrid"/>
        <w:tblW w:w="15168" w:type="dxa"/>
        <w:tblInd w:w="-43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120"/>
        <w:gridCol w:w="12048"/>
      </w:tblGrid>
      <w:tr w:rsidR="00FF400E" w:rsidRPr="00343B5C" w14:paraId="6C73E357" w14:textId="77777777" w:rsidTr="00B94A0B">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0BD35111" w14:textId="77777777" w:rsidR="00FF400E" w:rsidRPr="00343B5C" w:rsidRDefault="00FF400E" w:rsidP="00B94A0B">
            <w:pPr>
              <w:ind w:left="34" w:firstLine="0"/>
              <w:jc w:val="center"/>
            </w:pPr>
            <w:r w:rsidRPr="00343B5C">
              <w:t>Objective 1</w:t>
            </w:r>
          </w:p>
        </w:tc>
        <w:tc>
          <w:tcPr>
            <w:tcW w:w="12048" w:type="dxa"/>
            <w:tcBorders>
              <w:top w:val="single" w:sz="4" w:space="0" w:color="auto"/>
              <w:left w:val="single" w:sz="4" w:space="0" w:color="auto"/>
              <w:bottom w:val="single" w:sz="4" w:space="0" w:color="auto"/>
              <w:right w:val="single" w:sz="4" w:space="0" w:color="auto"/>
            </w:tcBorders>
            <w:vAlign w:val="center"/>
          </w:tcPr>
          <w:p w14:paraId="44D9A3F6" w14:textId="77777777" w:rsidR="00FF400E" w:rsidRPr="00B2475B" w:rsidRDefault="00FF400E" w:rsidP="00FF400E">
            <w:pPr>
              <w:ind w:left="322" w:firstLine="0"/>
              <w:rPr>
                <w:rFonts w:cs="Arial"/>
                <w:lang w:eastAsia="en-US"/>
              </w:rPr>
            </w:pPr>
            <w:r w:rsidRPr="0052047D">
              <w:rPr>
                <w:rFonts w:cs="Arial"/>
                <w:i/>
                <w:iCs/>
                <w:color w:val="000000"/>
                <w:sz w:val="22"/>
                <w:szCs w:val="22"/>
              </w:rPr>
              <w:t>Promote the student voice, ensuring that our students are active partners in the development of our activities, curricula and processes</w:t>
            </w:r>
          </w:p>
        </w:tc>
      </w:tr>
      <w:tr w:rsidR="00FF400E" w:rsidRPr="00343B5C" w14:paraId="7A02BD1A" w14:textId="77777777" w:rsidTr="00B94A0B">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34E56BAE" w14:textId="77777777" w:rsidR="00FF400E" w:rsidRPr="00343B5C" w:rsidRDefault="00FF400E" w:rsidP="00B94A0B">
            <w:pPr>
              <w:ind w:left="34" w:firstLine="0"/>
              <w:jc w:val="center"/>
            </w:pPr>
            <w:r w:rsidRPr="00343B5C">
              <w:t>Objective 2</w:t>
            </w:r>
          </w:p>
        </w:tc>
        <w:tc>
          <w:tcPr>
            <w:tcW w:w="12048" w:type="dxa"/>
            <w:tcBorders>
              <w:top w:val="single" w:sz="4" w:space="0" w:color="auto"/>
              <w:left w:val="single" w:sz="4" w:space="0" w:color="auto"/>
              <w:bottom w:val="single" w:sz="4" w:space="0" w:color="auto"/>
              <w:right w:val="single" w:sz="4" w:space="0" w:color="auto"/>
            </w:tcBorders>
            <w:vAlign w:val="center"/>
          </w:tcPr>
          <w:p w14:paraId="6060BB6A" w14:textId="77777777" w:rsidR="00FF400E" w:rsidRPr="00343B5C" w:rsidRDefault="00FF400E" w:rsidP="00FF400E">
            <w:pPr>
              <w:spacing w:after="120"/>
              <w:ind w:left="464" w:hanging="142"/>
            </w:pPr>
            <w:bookmarkStart w:id="9" w:name="_Toc65494198"/>
            <w:r w:rsidRPr="00294FAE">
              <w:rPr>
                <w:rFonts w:cs="Arial"/>
                <w:i/>
                <w:color w:val="000000" w:themeColor="text1"/>
                <w:sz w:val="22"/>
                <w:szCs w:val="22"/>
              </w:rPr>
              <w:t>Improve the quality of learning and teaching, including technologies to improve the learning and teaching experience</w:t>
            </w:r>
            <w:r w:rsidRPr="00294FAE">
              <w:rPr>
                <w:rFonts w:cs="Arial"/>
              </w:rPr>
              <w:t>.</w:t>
            </w:r>
            <w:bookmarkEnd w:id="9"/>
          </w:p>
        </w:tc>
      </w:tr>
      <w:tr w:rsidR="00FF400E" w:rsidRPr="00343B5C" w14:paraId="421C3C44" w14:textId="77777777" w:rsidTr="00B94A0B">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561D885A" w14:textId="77777777" w:rsidR="00FF400E" w:rsidRPr="00343B5C" w:rsidRDefault="00FF400E" w:rsidP="00B94A0B">
            <w:pPr>
              <w:ind w:left="34" w:firstLine="0"/>
              <w:jc w:val="center"/>
            </w:pPr>
            <w:r w:rsidRPr="00343B5C">
              <w:t>Objective 3</w:t>
            </w:r>
          </w:p>
        </w:tc>
        <w:tc>
          <w:tcPr>
            <w:tcW w:w="12048" w:type="dxa"/>
            <w:tcBorders>
              <w:top w:val="single" w:sz="4" w:space="0" w:color="auto"/>
              <w:left w:val="single" w:sz="4" w:space="0" w:color="auto"/>
              <w:bottom w:val="single" w:sz="4" w:space="0" w:color="auto"/>
              <w:right w:val="single" w:sz="4" w:space="0" w:color="auto"/>
            </w:tcBorders>
            <w:vAlign w:val="center"/>
          </w:tcPr>
          <w:p w14:paraId="4604D2EA" w14:textId="77777777" w:rsidR="00FF400E" w:rsidRPr="00343B5C" w:rsidRDefault="00FF400E" w:rsidP="00FF400E">
            <w:pPr>
              <w:spacing w:after="120"/>
              <w:ind w:left="322" w:firstLine="0"/>
            </w:pPr>
            <w:bookmarkStart w:id="10" w:name="_Toc65494200"/>
            <w:r w:rsidRPr="00294FAE">
              <w:rPr>
                <w:rFonts w:cs="Arial"/>
                <w:i/>
                <w:color w:val="000000" w:themeColor="text1"/>
                <w:sz w:val="22"/>
                <w:szCs w:val="22"/>
              </w:rPr>
              <w:t>Strengthen graduate employability</w:t>
            </w:r>
            <w:bookmarkEnd w:id="10"/>
          </w:p>
        </w:tc>
      </w:tr>
      <w:tr w:rsidR="00FF400E" w:rsidRPr="00343B5C" w14:paraId="2B61CFEA" w14:textId="77777777" w:rsidTr="00B94A0B">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5040CDB3" w14:textId="77777777" w:rsidR="00FF400E" w:rsidRPr="00343B5C" w:rsidRDefault="00FF400E" w:rsidP="00B94A0B">
            <w:pPr>
              <w:ind w:left="34" w:firstLine="0"/>
              <w:jc w:val="center"/>
            </w:pPr>
            <w:r>
              <w:t>Objective 4</w:t>
            </w:r>
          </w:p>
        </w:tc>
        <w:tc>
          <w:tcPr>
            <w:tcW w:w="12048" w:type="dxa"/>
            <w:tcBorders>
              <w:top w:val="single" w:sz="4" w:space="0" w:color="auto"/>
              <w:left w:val="single" w:sz="4" w:space="0" w:color="auto"/>
              <w:bottom w:val="single" w:sz="4" w:space="0" w:color="auto"/>
              <w:right w:val="single" w:sz="4" w:space="0" w:color="auto"/>
            </w:tcBorders>
            <w:vAlign w:val="center"/>
          </w:tcPr>
          <w:p w14:paraId="6120336D" w14:textId="77777777" w:rsidR="00FF400E" w:rsidRPr="00294FAE" w:rsidRDefault="00FF400E" w:rsidP="00FF400E">
            <w:pPr>
              <w:spacing w:after="120"/>
              <w:ind w:left="322" w:firstLine="0"/>
              <w:rPr>
                <w:rFonts w:cs="Arial"/>
                <w:i/>
                <w:color w:val="000000" w:themeColor="text1"/>
                <w:sz w:val="22"/>
                <w:szCs w:val="22"/>
              </w:rPr>
            </w:pPr>
            <w:bookmarkStart w:id="11" w:name="_Toc65494202"/>
            <w:r w:rsidRPr="00294FAE">
              <w:rPr>
                <w:rFonts w:cs="Arial"/>
                <w:i/>
                <w:iCs/>
                <w:color w:val="000000"/>
                <w:sz w:val="22"/>
                <w:szCs w:val="22"/>
              </w:rPr>
              <w:t>Raise academic aspiration through partnership working with schools and colleges and the provision of a package of scholarships that reward academic excellence</w:t>
            </w:r>
            <w:bookmarkEnd w:id="11"/>
          </w:p>
        </w:tc>
      </w:tr>
      <w:tr w:rsidR="00FF400E" w:rsidRPr="00343B5C" w14:paraId="0547D0BB" w14:textId="77777777" w:rsidTr="00B94A0B">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62720C63" w14:textId="77777777" w:rsidR="00FF400E" w:rsidRDefault="00FF400E" w:rsidP="00B94A0B">
            <w:pPr>
              <w:ind w:left="34" w:firstLine="0"/>
              <w:jc w:val="center"/>
            </w:pPr>
            <w:r>
              <w:t>Objective 5</w:t>
            </w:r>
          </w:p>
        </w:tc>
        <w:tc>
          <w:tcPr>
            <w:tcW w:w="12048" w:type="dxa"/>
            <w:tcBorders>
              <w:top w:val="single" w:sz="4" w:space="0" w:color="auto"/>
              <w:left w:val="single" w:sz="4" w:space="0" w:color="auto"/>
              <w:bottom w:val="single" w:sz="4" w:space="0" w:color="auto"/>
              <w:right w:val="single" w:sz="4" w:space="0" w:color="auto"/>
            </w:tcBorders>
            <w:vAlign w:val="center"/>
          </w:tcPr>
          <w:p w14:paraId="4C521DA3" w14:textId="77777777" w:rsidR="00FF400E" w:rsidRPr="00294FAE" w:rsidRDefault="00FF400E" w:rsidP="00FF400E">
            <w:pPr>
              <w:spacing w:after="120"/>
              <w:ind w:left="322" w:firstLine="0"/>
              <w:rPr>
                <w:rFonts w:cs="Arial"/>
                <w:i/>
                <w:iCs/>
                <w:color w:val="000000"/>
                <w:sz w:val="22"/>
                <w:szCs w:val="22"/>
              </w:rPr>
            </w:pPr>
            <w:r w:rsidRPr="00294FAE">
              <w:rPr>
                <w:rFonts w:cs="Arial"/>
                <w:i/>
                <w:color w:val="000000" w:themeColor="text1"/>
                <w:sz w:val="22"/>
                <w:szCs w:val="22"/>
              </w:rPr>
              <w:t>Improve the student experience through initiatives to enhance wellbeing</w:t>
            </w:r>
          </w:p>
        </w:tc>
      </w:tr>
    </w:tbl>
    <w:p w14:paraId="2F1F5998" w14:textId="77777777" w:rsidR="00FF400E" w:rsidRPr="00A014F0" w:rsidRDefault="00FF400E" w:rsidP="00FF400E"/>
    <w:p w14:paraId="60BCF6E1" w14:textId="77777777" w:rsidR="00FF400E" w:rsidRDefault="00FF400E" w:rsidP="00FF400E">
      <w:pPr>
        <w:pStyle w:val="Heading1"/>
        <w:ind w:left="357" w:firstLine="0"/>
        <w:rPr>
          <w:rFonts w:ascii="Arial" w:hAnsi="Arial" w:cs="Arial"/>
          <w:b/>
          <w:color w:val="auto"/>
        </w:rPr>
      </w:pPr>
    </w:p>
    <w:p w14:paraId="67FA4C66" w14:textId="779A185E" w:rsidR="00A014F0" w:rsidRPr="00A014F0" w:rsidRDefault="00A014F0" w:rsidP="00A014F0"/>
    <w:p w14:paraId="0851D57D" w14:textId="77777777" w:rsidR="00A014F0" w:rsidRDefault="00A014F0" w:rsidP="0060478F">
      <w:pPr>
        <w:pStyle w:val="Heading1"/>
        <w:ind w:left="357" w:firstLine="0"/>
        <w:rPr>
          <w:rFonts w:ascii="Arial" w:hAnsi="Arial" w:cs="Arial"/>
          <w:b/>
          <w:color w:val="auto"/>
        </w:rPr>
      </w:pPr>
    </w:p>
    <w:p w14:paraId="4677D1E9" w14:textId="77777777" w:rsidR="00A014F0" w:rsidRDefault="00A014F0" w:rsidP="0060478F">
      <w:pPr>
        <w:pStyle w:val="Heading1"/>
        <w:ind w:left="357" w:firstLine="0"/>
        <w:rPr>
          <w:rFonts w:ascii="Arial" w:hAnsi="Arial" w:cs="Arial"/>
          <w:b/>
          <w:color w:val="auto"/>
        </w:rPr>
      </w:pPr>
    </w:p>
    <w:p w14:paraId="7DBCA5A4" w14:textId="77777777" w:rsidR="00A014F0" w:rsidRDefault="00A014F0" w:rsidP="0060478F">
      <w:pPr>
        <w:pStyle w:val="Heading1"/>
        <w:ind w:left="357" w:firstLine="0"/>
        <w:rPr>
          <w:rFonts w:ascii="Arial" w:hAnsi="Arial" w:cs="Arial"/>
          <w:b/>
          <w:color w:val="auto"/>
        </w:rPr>
      </w:pPr>
    </w:p>
    <w:p w14:paraId="492B8827" w14:textId="77777777" w:rsidR="00A014F0" w:rsidRDefault="00A014F0" w:rsidP="0060478F">
      <w:pPr>
        <w:pStyle w:val="Heading1"/>
        <w:ind w:left="357" w:firstLine="0"/>
        <w:rPr>
          <w:rFonts w:ascii="Arial" w:hAnsi="Arial" w:cs="Arial"/>
          <w:b/>
          <w:color w:val="auto"/>
        </w:rPr>
      </w:pPr>
    </w:p>
    <w:p w14:paraId="26131883" w14:textId="77777777" w:rsidR="00A014F0" w:rsidRDefault="00A014F0" w:rsidP="0060478F">
      <w:pPr>
        <w:pStyle w:val="Heading1"/>
        <w:ind w:left="357" w:firstLine="0"/>
        <w:rPr>
          <w:rFonts w:ascii="Arial" w:hAnsi="Arial" w:cs="Arial"/>
          <w:b/>
          <w:color w:val="auto"/>
        </w:rPr>
      </w:pPr>
    </w:p>
    <w:p w14:paraId="45A012FC" w14:textId="77777777" w:rsidR="00A014F0" w:rsidRDefault="00A014F0" w:rsidP="0060478F">
      <w:pPr>
        <w:pStyle w:val="Heading1"/>
        <w:ind w:left="357" w:firstLine="0"/>
        <w:rPr>
          <w:rFonts w:ascii="Arial" w:hAnsi="Arial" w:cs="Arial"/>
          <w:b/>
          <w:color w:val="auto"/>
        </w:rPr>
      </w:pPr>
    </w:p>
    <w:p w14:paraId="29052CA2" w14:textId="77777777" w:rsidR="00A014F0" w:rsidRDefault="00A014F0" w:rsidP="0060478F">
      <w:pPr>
        <w:pStyle w:val="Heading1"/>
        <w:ind w:left="357" w:firstLine="0"/>
        <w:rPr>
          <w:rFonts w:ascii="Arial" w:hAnsi="Arial" w:cs="Arial"/>
          <w:b/>
          <w:color w:val="auto"/>
        </w:rPr>
      </w:pPr>
    </w:p>
    <w:p w14:paraId="468E0995" w14:textId="77777777" w:rsidR="00A014F0" w:rsidRDefault="00A014F0" w:rsidP="0060478F">
      <w:pPr>
        <w:pStyle w:val="Heading1"/>
        <w:ind w:left="357" w:firstLine="0"/>
        <w:rPr>
          <w:rFonts w:ascii="Arial" w:hAnsi="Arial" w:cs="Arial"/>
          <w:b/>
          <w:color w:val="auto"/>
        </w:rPr>
      </w:pPr>
    </w:p>
    <w:p w14:paraId="521284F3" w14:textId="77777777" w:rsidR="00A014F0" w:rsidRDefault="00A014F0" w:rsidP="007779E1">
      <w:pPr>
        <w:ind w:left="0" w:firstLine="0"/>
        <w:jc w:val="center"/>
        <w:rPr>
          <w:b/>
          <w:sz w:val="32"/>
          <w:szCs w:val="32"/>
        </w:rPr>
      </w:pPr>
    </w:p>
    <w:p w14:paraId="2B8346BB" w14:textId="77777777" w:rsidR="00A014F0" w:rsidRDefault="00A014F0" w:rsidP="007779E1">
      <w:pPr>
        <w:ind w:left="0" w:firstLine="0"/>
        <w:jc w:val="center"/>
        <w:rPr>
          <w:b/>
          <w:sz w:val="32"/>
          <w:szCs w:val="32"/>
        </w:rPr>
      </w:pPr>
    </w:p>
    <w:p w14:paraId="663D2F5A" w14:textId="77777777" w:rsidR="00A014F0" w:rsidRDefault="00A014F0" w:rsidP="007779E1">
      <w:pPr>
        <w:ind w:left="0" w:firstLine="0"/>
        <w:jc w:val="center"/>
        <w:rPr>
          <w:b/>
          <w:sz w:val="32"/>
          <w:szCs w:val="32"/>
        </w:rPr>
      </w:pPr>
    </w:p>
    <w:p w14:paraId="544E6B1B" w14:textId="77777777" w:rsidR="00A014F0" w:rsidRDefault="00A014F0" w:rsidP="007779E1">
      <w:pPr>
        <w:ind w:left="0" w:firstLine="0"/>
        <w:jc w:val="center"/>
        <w:rPr>
          <w:b/>
          <w:sz w:val="32"/>
          <w:szCs w:val="32"/>
        </w:rPr>
      </w:pPr>
    </w:p>
    <w:p w14:paraId="5F6FDBB9" w14:textId="77777777" w:rsidR="00A014F0" w:rsidRDefault="00A014F0" w:rsidP="007779E1">
      <w:pPr>
        <w:ind w:left="0" w:firstLine="0"/>
        <w:jc w:val="center"/>
        <w:rPr>
          <w:b/>
          <w:sz w:val="32"/>
          <w:szCs w:val="32"/>
        </w:rPr>
      </w:pPr>
    </w:p>
    <w:p w14:paraId="614D3E24" w14:textId="77777777" w:rsidR="00A014F0" w:rsidRDefault="00A014F0" w:rsidP="007779E1">
      <w:pPr>
        <w:ind w:left="0" w:firstLine="0"/>
        <w:jc w:val="center"/>
        <w:rPr>
          <w:b/>
          <w:sz w:val="32"/>
          <w:szCs w:val="32"/>
        </w:rPr>
      </w:pPr>
    </w:p>
    <w:p w14:paraId="6B55E788" w14:textId="77777777" w:rsidR="00A014F0" w:rsidRDefault="00A014F0" w:rsidP="007779E1">
      <w:pPr>
        <w:ind w:left="0" w:firstLine="0"/>
        <w:jc w:val="center"/>
        <w:rPr>
          <w:b/>
          <w:sz w:val="32"/>
          <w:szCs w:val="32"/>
        </w:rPr>
      </w:pPr>
    </w:p>
    <w:p w14:paraId="59A0414B" w14:textId="77777777" w:rsidR="00A014F0" w:rsidRDefault="00A014F0" w:rsidP="007779E1">
      <w:pPr>
        <w:ind w:left="0" w:firstLine="0"/>
        <w:jc w:val="center"/>
        <w:rPr>
          <w:b/>
          <w:sz w:val="32"/>
          <w:szCs w:val="32"/>
        </w:rPr>
      </w:pPr>
    </w:p>
    <w:p w14:paraId="73F5C1DE" w14:textId="77777777" w:rsidR="006C0A52" w:rsidRPr="00343B5C" w:rsidRDefault="006C0A52" w:rsidP="007779E1">
      <w:pPr>
        <w:ind w:left="0" w:firstLine="0"/>
        <w:jc w:val="center"/>
        <w:rPr>
          <w:b/>
          <w:sz w:val="32"/>
          <w:szCs w:val="32"/>
        </w:rPr>
      </w:pPr>
      <w:r w:rsidRPr="00343B5C">
        <w:rPr>
          <w:b/>
          <w:sz w:val="32"/>
          <w:szCs w:val="32"/>
        </w:rPr>
        <w:t>Authorisation of the fee and access plan application to HEFCW</w:t>
      </w:r>
      <w:r w:rsidR="00695C6F" w:rsidRPr="00343B5C">
        <w:rPr>
          <w:b/>
          <w:sz w:val="32"/>
          <w:szCs w:val="32"/>
        </w:rPr>
        <w:t xml:space="preserve"> (required for publication)</w:t>
      </w:r>
    </w:p>
    <w:p w14:paraId="361B69DE" w14:textId="77777777" w:rsidR="006C0A52" w:rsidRPr="00343B5C" w:rsidRDefault="006C0A52" w:rsidP="00844AE8">
      <w:pPr>
        <w:ind w:left="0" w:firstLine="0"/>
        <w:rPr>
          <w:b/>
        </w:rPr>
      </w:pPr>
    </w:p>
    <w:p w14:paraId="54B94C2E" w14:textId="77777777" w:rsidR="004353AF" w:rsidRPr="00343B5C" w:rsidRDefault="006D4D85" w:rsidP="00844AE8">
      <w:pPr>
        <w:ind w:left="0" w:firstLine="0"/>
      </w:pPr>
      <w:r w:rsidRPr="00343B5C">
        <w:t>In authorising fee and access plan application</w:t>
      </w:r>
      <w:r w:rsidR="00EB18AB" w:rsidRPr="00343B5C">
        <w:t>s</w:t>
      </w:r>
      <w:r w:rsidRPr="00343B5C">
        <w:t xml:space="preserve">, </w:t>
      </w:r>
      <w:r w:rsidR="004939B1" w:rsidRPr="00343B5C">
        <w:t>the governing body</w:t>
      </w:r>
      <w:r w:rsidR="004353AF" w:rsidRPr="00343B5C">
        <w:t>:</w:t>
      </w:r>
    </w:p>
    <w:p w14:paraId="63AC5514" w14:textId="77777777" w:rsidR="004939B1" w:rsidRPr="00343B5C" w:rsidRDefault="004939B1" w:rsidP="004939B1">
      <w:pPr>
        <w:pStyle w:val="ListParagraph"/>
        <w:ind w:left="567" w:firstLine="0"/>
      </w:pPr>
    </w:p>
    <w:p w14:paraId="6548CE55" w14:textId="77777777" w:rsidR="00A014F0" w:rsidRPr="00A014F0" w:rsidRDefault="00A014F0" w:rsidP="004939B1">
      <w:pPr>
        <w:pStyle w:val="ListParagraph"/>
        <w:numPr>
          <w:ilvl w:val="0"/>
          <w:numId w:val="3"/>
        </w:numPr>
        <w:ind w:left="567" w:hanging="425"/>
        <w:contextualSpacing w:val="0"/>
      </w:pPr>
      <w:r>
        <w:t>confirms that it continues to be an institution that</w:t>
      </w:r>
      <w:r w:rsidRPr="00A014F0">
        <w:t xml:space="preserve"> </w:t>
      </w:r>
      <w:r>
        <w:t>provides higher education in Wales and is a charity.</w:t>
      </w:r>
    </w:p>
    <w:p w14:paraId="35208C90" w14:textId="77777777" w:rsidR="00A014F0" w:rsidRPr="00A014F0" w:rsidRDefault="00A014F0" w:rsidP="00A014F0">
      <w:pPr>
        <w:pStyle w:val="ListParagraph"/>
        <w:ind w:left="567" w:firstLine="0"/>
        <w:contextualSpacing w:val="0"/>
      </w:pPr>
    </w:p>
    <w:p w14:paraId="3CBD498D" w14:textId="77777777" w:rsidR="004939B1" w:rsidRPr="00343B5C" w:rsidRDefault="004939B1" w:rsidP="004939B1">
      <w:pPr>
        <w:pStyle w:val="ListParagraph"/>
        <w:numPr>
          <w:ilvl w:val="0"/>
          <w:numId w:val="3"/>
        </w:numPr>
        <w:ind w:left="567" w:hanging="425"/>
        <w:contextualSpacing w:val="0"/>
      </w:pPr>
      <w:r w:rsidRPr="00343B5C">
        <w:rPr>
          <w:rFonts w:cs="Arial"/>
          <w:szCs w:val="24"/>
        </w:rPr>
        <w:t>has seen and considered appropriate evidence to support the declarations being made in this application.</w:t>
      </w:r>
    </w:p>
    <w:p w14:paraId="44BB8CE0" w14:textId="77777777" w:rsidR="00265DD0" w:rsidRPr="00343B5C" w:rsidRDefault="00265DD0" w:rsidP="00265DD0">
      <w:pPr>
        <w:pStyle w:val="ListParagraph"/>
        <w:ind w:left="567" w:firstLine="0"/>
      </w:pPr>
    </w:p>
    <w:p w14:paraId="6A18415E" w14:textId="77777777" w:rsidR="004939B1" w:rsidRPr="00343B5C" w:rsidRDefault="004939B1" w:rsidP="004939B1">
      <w:pPr>
        <w:pStyle w:val="ListParagraph"/>
        <w:numPr>
          <w:ilvl w:val="0"/>
          <w:numId w:val="3"/>
        </w:numPr>
        <w:ind w:left="567" w:hanging="425"/>
      </w:pPr>
      <w:r w:rsidRPr="00343B5C">
        <w:lastRenderedPageBreak/>
        <w:t>confirms that there has been appropriate consultation with its students, both those studying at the institution and at other providers where education is delivered on its behalf.</w:t>
      </w:r>
    </w:p>
    <w:p w14:paraId="3F90A4BD" w14:textId="77777777" w:rsidR="004939B1" w:rsidRPr="00343B5C" w:rsidRDefault="004939B1" w:rsidP="004939B1">
      <w:pPr>
        <w:pStyle w:val="ListParagraph"/>
        <w:ind w:left="567" w:firstLine="0"/>
      </w:pPr>
    </w:p>
    <w:p w14:paraId="2B0CCE96" w14:textId="77777777" w:rsidR="00F1196A" w:rsidRPr="00343B5C" w:rsidRDefault="00EB18AB" w:rsidP="00B70F54">
      <w:pPr>
        <w:pStyle w:val="ListParagraph"/>
        <w:numPr>
          <w:ilvl w:val="0"/>
          <w:numId w:val="3"/>
        </w:numPr>
        <w:ind w:left="567" w:hanging="425"/>
      </w:pPr>
      <w:r w:rsidRPr="00343B5C">
        <w:t>confirm</w:t>
      </w:r>
      <w:r w:rsidR="004939B1" w:rsidRPr="00343B5C">
        <w:t>s</w:t>
      </w:r>
      <w:r w:rsidR="00F1196A" w:rsidRPr="00343B5C">
        <w:t xml:space="preserve"> </w:t>
      </w:r>
      <w:r w:rsidR="00C75051" w:rsidRPr="00343B5C">
        <w:t xml:space="preserve">that </w:t>
      </w:r>
      <w:r w:rsidR="00844AE8" w:rsidRPr="00343B5C">
        <w:t>the information provided in this fee and access plan application is accurate</w:t>
      </w:r>
      <w:r w:rsidR="00073A8B" w:rsidRPr="00343B5C">
        <w:t xml:space="preserve"> and current</w:t>
      </w:r>
      <w:r w:rsidR="002A4524" w:rsidRPr="00343B5C">
        <w:t xml:space="preserve">, </w:t>
      </w:r>
      <w:r w:rsidR="00844AE8" w:rsidRPr="00343B5C">
        <w:t xml:space="preserve">at the time of writing, </w:t>
      </w:r>
      <w:r w:rsidR="00C75CD0" w:rsidRPr="00343B5C">
        <w:t xml:space="preserve">and is </w:t>
      </w:r>
      <w:r w:rsidR="00844AE8" w:rsidRPr="00343B5C">
        <w:t xml:space="preserve">based on verifiable data. </w:t>
      </w:r>
    </w:p>
    <w:p w14:paraId="255E27DC" w14:textId="77777777" w:rsidR="00F1196A" w:rsidRPr="00343B5C" w:rsidRDefault="00F1196A" w:rsidP="000A0D70">
      <w:pPr>
        <w:ind w:left="0" w:hanging="425"/>
      </w:pPr>
    </w:p>
    <w:p w14:paraId="282BF4D2" w14:textId="77777777" w:rsidR="00CE2DFD" w:rsidRPr="00343B5C" w:rsidRDefault="00EB18AB" w:rsidP="00B70F54">
      <w:pPr>
        <w:pStyle w:val="ListParagraph"/>
        <w:numPr>
          <w:ilvl w:val="0"/>
          <w:numId w:val="3"/>
        </w:numPr>
        <w:ind w:left="567" w:hanging="425"/>
      </w:pPr>
      <w:r w:rsidRPr="00343B5C">
        <w:t>confirm</w:t>
      </w:r>
      <w:r w:rsidR="004939B1" w:rsidRPr="00343B5C">
        <w:t>s</w:t>
      </w:r>
      <w:r w:rsidR="00CE2DFD" w:rsidRPr="00343B5C">
        <w:t xml:space="preserve"> that</w:t>
      </w:r>
      <w:r w:rsidR="00BC1EB3" w:rsidRPr="00343B5C">
        <w:t>:</w:t>
      </w:r>
      <w:r w:rsidR="00CE2DFD" w:rsidRPr="00343B5C">
        <w:t xml:space="preserve"> </w:t>
      </w:r>
      <w:r w:rsidR="00CE2DFD" w:rsidRPr="00343B5C">
        <w:rPr>
          <w:b/>
        </w:rPr>
        <w:t xml:space="preserve">[delete </w:t>
      </w:r>
      <w:r w:rsidR="009736DA" w:rsidRPr="00343B5C">
        <w:rPr>
          <w:b/>
        </w:rPr>
        <w:t xml:space="preserve">one or more statements, </w:t>
      </w:r>
      <w:r w:rsidR="00CE2DFD" w:rsidRPr="00343B5C">
        <w:rPr>
          <w:b/>
        </w:rPr>
        <w:t xml:space="preserve">as appropriate] </w:t>
      </w:r>
    </w:p>
    <w:p w14:paraId="395BE439" w14:textId="77777777" w:rsidR="00BC1EB3" w:rsidRPr="00343B5C" w:rsidRDefault="00E34362" w:rsidP="00B70F54">
      <w:pPr>
        <w:pStyle w:val="ListParagraph"/>
        <w:numPr>
          <w:ilvl w:val="1"/>
          <w:numId w:val="3"/>
        </w:numPr>
        <w:ind w:left="993" w:hanging="426"/>
      </w:pPr>
      <w:r w:rsidRPr="00343B5C">
        <w:t>it is acceptable for HEFCW to use</w:t>
      </w:r>
      <w:r w:rsidR="00D36856" w:rsidRPr="00343B5C">
        <w:t xml:space="preserve"> financial</w:t>
      </w:r>
      <w:r w:rsidRPr="00343B5C">
        <w:t>,</w:t>
      </w:r>
      <w:r w:rsidR="00D36856" w:rsidRPr="00343B5C">
        <w:t xml:space="preserve"> quality</w:t>
      </w:r>
      <w:r w:rsidRPr="00343B5C">
        <w:t xml:space="preserve"> and/or other </w:t>
      </w:r>
      <w:r w:rsidR="00D36856" w:rsidRPr="00343B5C">
        <w:t>information</w:t>
      </w:r>
      <w:r w:rsidRPr="00343B5C">
        <w:t>/data</w:t>
      </w:r>
      <w:r w:rsidR="00C01EF9" w:rsidRPr="00343B5C">
        <w:t xml:space="preserve"> </w:t>
      </w:r>
      <w:r w:rsidRPr="00343B5C">
        <w:t xml:space="preserve">that it holds </w:t>
      </w:r>
      <w:r w:rsidR="00D36856" w:rsidRPr="00343B5C">
        <w:t xml:space="preserve">about a currently regulated </w:t>
      </w:r>
      <w:r w:rsidR="004F4174" w:rsidRPr="00343B5C">
        <w:t>institution</w:t>
      </w:r>
      <w:r w:rsidR="00D36856" w:rsidRPr="00343B5C">
        <w:t xml:space="preserve">, </w:t>
      </w:r>
      <w:r w:rsidR="00C01EF9" w:rsidRPr="00343B5C">
        <w:t>regardless of whether the information</w:t>
      </w:r>
      <w:r w:rsidRPr="00343B5C">
        <w:t>/da</w:t>
      </w:r>
      <w:r w:rsidR="00D36856" w:rsidRPr="00343B5C">
        <w:t xml:space="preserve">ta was originally provided for purposes </w:t>
      </w:r>
      <w:r w:rsidRPr="00343B5C">
        <w:t xml:space="preserve">of </w:t>
      </w:r>
      <w:r w:rsidR="00D36856" w:rsidRPr="00343B5C">
        <w:t>regulation u</w:t>
      </w:r>
      <w:r w:rsidRPr="00343B5C">
        <w:t>nder the 2015 Act</w:t>
      </w:r>
      <w:r w:rsidR="0071639F" w:rsidRPr="00343B5C">
        <w:t>;</w:t>
      </w:r>
      <w:r w:rsidR="00CE681E" w:rsidRPr="00343B5C">
        <w:t xml:space="preserve"> </w:t>
      </w:r>
    </w:p>
    <w:p w14:paraId="154F2092" w14:textId="77777777" w:rsidR="00CE2DFD" w:rsidRPr="00343B5C" w:rsidRDefault="00BC1EB3" w:rsidP="00B70F54">
      <w:pPr>
        <w:pStyle w:val="ListParagraph"/>
        <w:numPr>
          <w:ilvl w:val="1"/>
          <w:numId w:val="3"/>
        </w:numPr>
        <w:ind w:left="993" w:hanging="426"/>
      </w:pPr>
      <w:r w:rsidRPr="00343B5C">
        <w:t xml:space="preserve">it is not acceptable for HEFCW to use financial, quality and/or other information/data that it holds about </w:t>
      </w:r>
      <w:r w:rsidR="009736DA" w:rsidRPr="00343B5C">
        <w:t xml:space="preserve">a currently regulated </w:t>
      </w:r>
      <w:r w:rsidR="004F4174" w:rsidRPr="00343B5C">
        <w:t>institution</w:t>
      </w:r>
      <w:r w:rsidR="009736DA" w:rsidRPr="00343B5C">
        <w:t xml:space="preserve"> for purposes of regulation under the 2015 Act</w:t>
      </w:r>
      <w:r w:rsidR="0071639F" w:rsidRPr="00343B5C">
        <w:t>;</w:t>
      </w:r>
      <w:r w:rsidR="009736DA" w:rsidRPr="00343B5C">
        <w:t xml:space="preserve"> and</w:t>
      </w:r>
    </w:p>
    <w:p w14:paraId="17A14DEB" w14:textId="77777777" w:rsidR="00CE2DFD" w:rsidRPr="00343B5C" w:rsidRDefault="00CE2DFD" w:rsidP="00B70F54">
      <w:pPr>
        <w:pStyle w:val="ListParagraph"/>
        <w:numPr>
          <w:ilvl w:val="1"/>
          <w:numId w:val="3"/>
        </w:numPr>
        <w:ind w:left="993" w:hanging="426"/>
      </w:pPr>
      <w:r w:rsidRPr="00343B5C">
        <w:t xml:space="preserve">it is submitting new, </w:t>
      </w:r>
      <w:r w:rsidR="009736DA" w:rsidRPr="00343B5C">
        <w:t xml:space="preserve">up-to-date, </w:t>
      </w:r>
      <w:r w:rsidRPr="00343B5C">
        <w:t>more recent</w:t>
      </w:r>
      <w:r w:rsidR="00FC64D0" w:rsidRPr="00343B5C">
        <w:t xml:space="preserve"> information/data </w:t>
      </w:r>
      <w:r w:rsidRPr="00343B5C">
        <w:t xml:space="preserve">to inform HEFCW’s assessment. </w:t>
      </w:r>
    </w:p>
    <w:p w14:paraId="2236F1C9" w14:textId="77777777" w:rsidR="00D36856" w:rsidRPr="00343B5C" w:rsidRDefault="00D36856" w:rsidP="000A0D70">
      <w:pPr>
        <w:ind w:hanging="425"/>
      </w:pPr>
    </w:p>
    <w:p w14:paraId="30E67573" w14:textId="77777777" w:rsidR="00880935" w:rsidRPr="00343B5C" w:rsidRDefault="00EB18AB" w:rsidP="00B70F54">
      <w:pPr>
        <w:pStyle w:val="ListParagraph"/>
        <w:numPr>
          <w:ilvl w:val="0"/>
          <w:numId w:val="3"/>
        </w:numPr>
        <w:ind w:left="567" w:hanging="425"/>
      </w:pPr>
      <w:r w:rsidRPr="00343B5C">
        <w:t>understand</w:t>
      </w:r>
      <w:r w:rsidR="004939B1" w:rsidRPr="00343B5C">
        <w:t>s</w:t>
      </w:r>
      <w:r w:rsidR="00880935" w:rsidRPr="00343B5C">
        <w:t xml:space="preserve"> that HEFCW reserves the right to undertake a visit to </w:t>
      </w:r>
      <w:r w:rsidR="00F979C4" w:rsidRPr="00343B5C">
        <w:t xml:space="preserve">the institution </w:t>
      </w:r>
      <w:r w:rsidR="00880935" w:rsidRPr="00343B5C">
        <w:t>to better understand eligibility related to the organisation and management of financial affairs</w:t>
      </w:r>
      <w:r w:rsidR="00BE3A64" w:rsidRPr="00343B5C">
        <w:t>, the data submitted on fee and access plan</w:t>
      </w:r>
      <w:r w:rsidRPr="00343B5C">
        <w:t>s</w:t>
      </w:r>
      <w:r w:rsidR="00880935" w:rsidRPr="00343B5C">
        <w:t xml:space="preserve"> and</w:t>
      </w:r>
      <w:r w:rsidR="00073A8B" w:rsidRPr="00343B5C">
        <w:t>/or</w:t>
      </w:r>
      <w:r w:rsidR="00880935" w:rsidRPr="00343B5C">
        <w:t xml:space="preserve"> the quality of education provided on, or on behalf of, </w:t>
      </w:r>
      <w:r w:rsidR="00F979C4" w:rsidRPr="00343B5C">
        <w:t>the institution</w:t>
      </w:r>
      <w:r w:rsidR="00880935" w:rsidRPr="00343B5C">
        <w:t>.</w:t>
      </w:r>
    </w:p>
    <w:p w14:paraId="143496EB" w14:textId="77777777" w:rsidR="00880935" w:rsidRPr="00343B5C" w:rsidRDefault="00880935" w:rsidP="000A0D70">
      <w:pPr>
        <w:ind w:left="0" w:hanging="425"/>
      </w:pPr>
    </w:p>
    <w:p w14:paraId="408E7C8E" w14:textId="77777777" w:rsidR="00C75051" w:rsidRPr="00343B5C" w:rsidRDefault="00EB18AB" w:rsidP="00B70F54">
      <w:pPr>
        <w:pStyle w:val="ListParagraph"/>
        <w:numPr>
          <w:ilvl w:val="0"/>
          <w:numId w:val="3"/>
        </w:numPr>
        <w:ind w:left="567" w:hanging="425"/>
      </w:pPr>
      <w:r w:rsidRPr="00343B5C">
        <w:t>understand</w:t>
      </w:r>
      <w:r w:rsidR="004939B1" w:rsidRPr="00343B5C">
        <w:t xml:space="preserve">s </w:t>
      </w:r>
      <w:r w:rsidR="00590464" w:rsidRPr="00343B5C">
        <w:t xml:space="preserve">that it must </w:t>
      </w:r>
      <w:r w:rsidR="00C75051" w:rsidRPr="00343B5C">
        <w:t>provide HEFCW and/or HEFCW’s agent, with information, assistance and access to its facilities and the facilities of other bodies providing higher education on its behalf.</w:t>
      </w:r>
    </w:p>
    <w:p w14:paraId="354D1C7E" w14:textId="77777777" w:rsidR="004353AF" w:rsidRPr="00343B5C" w:rsidRDefault="004353AF" w:rsidP="000A0D70">
      <w:pPr>
        <w:ind w:left="0" w:hanging="425"/>
      </w:pPr>
    </w:p>
    <w:p w14:paraId="6A4ADD7F" w14:textId="77777777" w:rsidR="004353AF" w:rsidRPr="00343B5C" w:rsidRDefault="004353AF" w:rsidP="00B70F54">
      <w:pPr>
        <w:pStyle w:val="ListParagraph"/>
        <w:numPr>
          <w:ilvl w:val="0"/>
          <w:numId w:val="3"/>
        </w:numPr>
        <w:ind w:left="567" w:hanging="425"/>
      </w:pPr>
      <w:r w:rsidRPr="00343B5C">
        <w:t>underst</w:t>
      </w:r>
      <w:r w:rsidR="00EB18AB" w:rsidRPr="00343B5C">
        <w:t>and</w:t>
      </w:r>
      <w:r w:rsidR="004939B1" w:rsidRPr="00343B5C">
        <w:t>s</w:t>
      </w:r>
      <w:r w:rsidRPr="00343B5C">
        <w:t xml:space="preserve"> that HEFCW may carry out, or arrange for an agent to carry out, a review relating to the quality of education provided by, or on behalf of </w:t>
      </w:r>
      <w:r w:rsidR="00880935" w:rsidRPr="00343B5C">
        <w:t xml:space="preserve">the </w:t>
      </w:r>
      <w:r w:rsidR="00F979C4" w:rsidRPr="00343B5C">
        <w:t>institution</w:t>
      </w:r>
      <w:r w:rsidR="00581917" w:rsidRPr="00343B5C">
        <w:t xml:space="preserve">, </w:t>
      </w:r>
      <w:r w:rsidRPr="00343B5C">
        <w:t xml:space="preserve">and </w:t>
      </w:r>
      <w:r w:rsidR="00F979C4" w:rsidRPr="00343B5C">
        <w:t xml:space="preserve">its governing body </w:t>
      </w:r>
      <w:r w:rsidRPr="00343B5C">
        <w:t xml:space="preserve">must </w:t>
      </w:r>
      <w:proofErr w:type="gramStart"/>
      <w:r w:rsidRPr="00343B5C">
        <w:t>take into account</w:t>
      </w:r>
      <w:proofErr w:type="gramEnd"/>
      <w:r w:rsidRPr="00343B5C">
        <w:t xml:space="preserve"> any advice given to it by HEFCW or the body appointed by HEFCW for this purpose.</w:t>
      </w:r>
    </w:p>
    <w:p w14:paraId="5520352A" w14:textId="77777777" w:rsidR="006D4D85" w:rsidRPr="00343B5C" w:rsidRDefault="006D4D85" w:rsidP="000A0D70">
      <w:pPr>
        <w:ind w:left="0" w:hanging="425"/>
      </w:pPr>
    </w:p>
    <w:p w14:paraId="4FA478E7" w14:textId="77777777" w:rsidR="006D4D85" w:rsidRPr="00343B5C" w:rsidRDefault="000526C1" w:rsidP="00B70F54">
      <w:pPr>
        <w:pStyle w:val="ListParagraph"/>
        <w:numPr>
          <w:ilvl w:val="0"/>
          <w:numId w:val="3"/>
        </w:numPr>
        <w:ind w:left="567" w:hanging="425"/>
      </w:pPr>
      <w:r w:rsidRPr="00343B5C">
        <w:t>c</w:t>
      </w:r>
      <w:r w:rsidR="00EB18AB" w:rsidRPr="00343B5C">
        <w:t>onfirm</w:t>
      </w:r>
      <w:r w:rsidR="004939B1" w:rsidRPr="00343B5C">
        <w:t>s</w:t>
      </w:r>
      <w:r w:rsidR="006D4D85" w:rsidRPr="00343B5C">
        <w:t xml:space="preserve"> that </w:t>
      </w:r>
      <w:r w:rsidR="006D4D85" w:rsidRPr="00343B5C">
        <w:rPr>
          <w:u w:val="single"/>
        </w:rPr>
        <w:t>all</w:t>
      </w:r>
      <w:r w:rsidR="006D4D85" w:rsidRPr="00343B5C">
        <w:t xml:space="preserve"> education provided by, or on </w:t>
      </w:r>
      <w:r w:rsidRPr="00343B5C">
        <w:t xml:space="preserve">its </w:t>
      </w:r>
      <w:r w:rsidR="006D4D85" w:rsidRPr="00343B5C">
        <w:t>behalf</w:t>
      </w:r>
      <w:r w:rsidRPr="00343B5C">
        <w:t xml:space="preserve">, regardless of the level or location of the provision has been </w:t>
      </w:r>
      <w:proofErr w:type="gramStart"/>
      <w:r w:rsidRPr="00343B5C">
        <w:t>taken into account</w:t>
      </w:r>
      <w:proofErr w:type="gramEnd"/>
      <w:r w:rsidRPr="00343B5C">
        <w:t xml:space="preserve"> in</w:t>
      </w:r>
      <w:r w:rsidR="006D4D85" w:rsidRPr="00343B5C">
        <w:t xml:space="preserve"> </w:t>
      </w:r>
      <w:r w:rsidR="00810EBF" w:rsidRPr="00343B5C">
        <w:t xml:space="preserve">this </w:t>
      </w:r>
      <w:r w:rsidRPr="00343B5C">
        <w:t>fee and access plan application.</w:t>
      </w:r>
    </w:p>
    <w:p w14:paraId="73BF1E4A" w14:textId="77777777" w:rsidR="00265997" w:rsidRPr="00343B5C" w:rsidRDefault="00265997" w:rsidP="000A0D70">
      <w:pPr>
        <w:ind w:left="0" w:hanging="425"/>
      </w:pPr>
    </w:p>
    <w:p w14:paraId="05F9FE10" w14:textId="77777777" w:rsidR="00A3113A" w:rsidRPr="00343B5C" w:rsidRDefault="00A3113A" w:rsidP="00B70F54">
      <w:pPr>
        <w:pStyle w:val="ListParagraph"/>
        <w:numPr>
          <w:ilvl w:val="0"/>
          <w:numId w:val="3"/>
        </w:numPr>
        <w:ind w:left="567" w:hanging="425"/>
      </w:pPr>
      <w:r w:rsidRPr="00343B5C">
        <w:t>confirm</w:t>
      </w:r>
      <w:r w:rsidR="004939B1" w:rsidRPr="00343B5C">
        <w:t>s</w:t>
      </w:r>
      <w:r w:rsidRPr="00343B5C">
        <w:t xml:space="preserve"> that </w:t>
      </w:r>
      <w:r w:rsidR="00F1196A" w:rsidRPr="00343B5C">
        <w:t>the</w:t>
      </w:r>
      <w:r w:rsidRPr="00343B5C">
        <w:t xml:space="preserve"> institution is at a low risk of failure on financial grounds over the medium</w:t>
      </w:r>
      <w:r w:rsidR="005F626A" w:rsidRPr="00343B5C">
        <w:t>-</w:t>
      </w:r>
      <w:r w:rsidRPr="00343B5C">
        <w:t xml:space="preserve"> to long</w:t>
      </w:r>
      <w:r w:rsidR="005F626A" w:rsidRPr="00343B5C">
        <w:t>-</w:t>
      </w:r>
      <w:r w:rsidRPr="00343B5C">
        <w:t xml:space="preserve"> term. </w:t>
      </w:r>
    </w:p>
    <w:p w14:paraId="629464FB" w14:textId="77777777" w:rsidR="004353AF" w:rsidRPr="00343B5C" w:rsidRDefault="004353AF" w:rsidP="000A0D70">
      <w:pPr>
        <w:ind w:left="0" w:hanging="425"/>
      </w:pPr>
    </w:p>
    <w:p w14:paraId="71F2E1B9" w14:textId="77777777" w:rsidR="004353AF" w:rsidRPr="00343B5C" w:rsidRDefault="004353AF" w:rsidP="00B70F54">
      <w:pPr>
        <w:pStyle w:val="ListParagraph"/>
        <w:numPr>
          <w:ilvl w:val="0"/>
          <w:numId w:val="3"/>
        </w:numPr>
        <w:ind w:left="567" w:hanging="425"/>
      </w:pPr>
      <w:r w:rsidRPr="00343B5C">
        <w:t>confirm</w:t>
      </w:r>
      <w:r w:rsidR="004939B1" w:rsidRPr="00343B5C">
        <w:t>s</w:t>
      </w:r>
      <w:r w:rsidRPr="00343B5C">
        <w:t xml:space="preserve"> that the accounts are audited each year by a registered auditor and that the registered auditor is not the same firm and/or individual that prepared the accounts.</w:t>
      </w:r>
    </w:p>
    <w:p w14:paraId="0DCA6FAB" w14:textId="77777777" w:rsidR="00880935" w:rsidRPr="00343B5C" w:rsidRDefault="00880935" w:rsidP="000A0D70">
      <w:pPr>
        <w:ind w:left="0" w:hanging="425"/>
      </w:pPr>
    </w:p>
    <w:p w14:paraId="2A2AB788" w14:textId="77777777" w:rsidR="00A3113A" w:rsidRPr="00343B5C" w:rsidRDefault="002A4524" w:rsidP="00B70F54">
      <w:pPr>
        <w:pStyle w:val="ListParagraph"/>
        <w:numPr>
          <w:ilvl w:val="0"/>
          <w:numId w:val="3"/>
        </w:numPr>
        <w:ind w:left="567" w:hanging="425"/>
      </w:pPr>
      <w:r w:rsidRPr="00343B5C">
        <w:t>c</w:t>
      </w:r>
      <w:r w:rsidR="000F6BD4" w:rsidRPr="00343B5C">
        <w:t>onfirm</w:t>
      </w:r>
      <w:r w:rsidR="004939B1" w:rsidRPr="00343B5C">
        <w:t>s</w:t>
      </w:r>
      <w:r w:rsidR="000F6BD4" w:rsidRPr="00343B5C">
        <w:t xml:space="preserve"> </w:t>
      </w:r>
      <w:r w:rsidR="00880935" w:rsidRPr="00343B5C">
        <w:t>that the institution compl</w:t>
      </w:r>
      <w:r w:rsidR="000F6BD4" w:rsidRPr="00343B5C">
        <w:t>ies</w:t>
      </w:r>
      <w:r w:rsidR="00880935" w:rsidRPr="00343B5C">
        <w:t xml:space="preserve"> with Competition and Markets Authority (CMA) guidelines for higher education.</w:t>
      </w:r>
    </w:p>
    <w:p w14:paraId="43CFB007" w14:textId="77777777" w:rsidR="00892EA5" w:rsidRPr="00343B5C" w:rsidRDefault="00892EA5" w:rsidP="000A0D70">
      <w:pPr>
        <w:ind w:left="0" w:hanging="425"/>
      </w:pPr>
    </w:p>
    <w:p w14:paraId="11A0CB4C" w14:textId="77777777" w:rsidR="00892EA5" w:rsidRDefault="00EB18AB" w:rsidP="00B70F54">
      <w:pPr>
        <w:pStyle w:val="ListParagraph"/>
        <w:numPr>
          <w:ilvl w:val="0"/>
          <w:numId w:val="3"/>
        </w:numPr>
        <w:ind w:left="567" w:hanging="425"/>
      </w:pPr>
      <w:r w:rsidRPr="00343B5C">
        <w:t>understand</w:t>
      </w:r>
      <w:r w:rsidR="004939B1" w:rsidRPr="00343B5C">
        <w:t>s</w:t>
      </w:r>
      <w:r w:rsidR="00892EA5" w:rsidRPr="00343B5C">
        <w:t xml:space="preserve"> that any financial commitments to students made in the fee and access plan, as approved by HEFCW, must be honoured.</w:t>
      </w:r>
    </w:p>
    <w:p w14:paraId="60A3D269" w14:textId="77777777" w:rsidR="00423321" w:rsidRDefault="00423321" w:rsidP="00423321">
      <w:pPr>
        <w:pStyle w:val="ListParagraph"/>
      </w:pPr>
    </w:p>
    <w:p w14:paraId="07CC0201" w14:textId="77777777" w:rsidR="00423321" w:rsidRDefault="00423321" w:rsidP="00B70F54">
      <w:pPr>
        <w:pStyle w:val="ListParagraph"/>
        <w:numPr>
          <w:ilvl w:val="0"/>
          <w:numId w:val="3"/>
        </w:numPr>
        <w:ind w:left="567" w:hanging="425"/>
      </w:pPr>
      <w:r>
        <w:t xml:space="preserve">confirms that it will continue to invest the same proportion of full-time undergraduate fee income to promote equality of opportunity and promote higher education and not reduce invest to promote equality of opportunity which is intended to support </w:t>
      </w:r>
      <w:r w:rsidRPr="00423321">
        <w:rPr>
          <w:u w:val="single"/>
        </w:rPr>
        <w:t>only</w:t>
      </w:r>
      <w:r>
        <w:t xml:space="preserve"> under-represented in higher education.</w:t>
      </w:r>
    </w:p>
    <w:p w14:paraId="38759D81" w14:textId="77777777" w:rsidR="00423321" w:rsidRDefault="00423321" w:rsidP="00423321">
      <w:pPr>
        <w:pStyle w:val="ListParagraph"/>
      </w:pPr>
    </w:p>
    <w:p w14:paraId="13284019" w14:textId="77777777" w:rsidR="00423321" w:rsidRPr="00343B5C" w:rsidRDefault="00423321" w:rsidP="00B70F54">
      <w:pPr>
        <w:pStyle w:val="ListParagraph"/>
        <w:numPr>
          <w:ilvl w:val="0"/>
          <w:numId w:val="3"/>
        </w:numPr>
        <w:ind w:left="567" w:hanging="425"/>
      </w:pPr>
      <w:r>
        <w:t>confirms that it will maintain student support levels.</w:t>
      </w:r>
    </w:p>
    <w:p w14:paraId="0A2FB795" w14:textId="77777777" w:rsidR="00F54DA9" w:rsidRPr="00343B5C" w:rsidRDefault="00F54DA9" w:rsidP="00F54DA9">
      <w:pPr>
        <w:pStyle w:val="ListParagraph"/>
      </w:pPr>
    </w:p>
    <w:p w14:paraId="63A280F4" w14:textId="77777777" w:rsidR="00F54DA9" w:rsidRPr="00343B5C" w:rsidRDefault="00F54DA9" w:rsidP="00B70F54">
      <w:pPr>
        <w:pStyle w:val="ListParagraph"/>
        <w:numPr>
          <w:ilvl w:val="0"/>
          <w:numId w:val="3"/>
        </w:numPr>
        <w:ind w:left="567" w:hanging="425"/>
      </w:pPr>
      <w:r w:rsidRPr="00343B5C">
        <w:t>confirm</w:t>
      </w:r>
      <w:r w:rsidR="004939B1" w:rsidRPr="00343B5C">
        <w:t>s</w:t>
      </w:r>
      <w:r w:rsidRPr="00343B5C">
        <w:t xml:space="preserve"> that the </w:t>
      </w:r>
      <w:r w:rsidR="007972AE" w:rsidRPr="00343B5C">
        <w:t xml:space="preserve">institution will ensure that a copy of the fee and access plan </w:t>
      </w:r>
      <w:r w:rsidR="004939B1" w:rsidRPr="00343B5C">
        <w:t xml:space="preserve">can be made </w:t>
      </w:r>
      <w:r w:rsidR="007972AE" w:rsidRPr="00343B5C">
        <w:t>accessible to its students in a</w:t>
      </w:r>
      <w:r w:rsidR="00983A2A" w:rsidRPr="00343B5C">
        <w:t>ny format</w:t>
      </w:r>
      <w:r w:rsidR="007972AE" w:rsidRPr="00343B5C">
        <w:t>.</w:t>
      </w:r>
    </w:p>
    <w:p w14:paraId="6C3A08D3" w14:textId="77777777" w:rsidR="007972AE" w:rsidRPr="00343B5C" w:rsidRDefault="007972AE" w:rsidP="007972AE">
      <w:pPr>
        <w:pStyle w:val="ListParagraph"/>
      </w:pPr>
    </w:p>
    <w:p w14:paraId="09716DFB" w14:textId="77777777" w:rsidR="007972AE" w:rsidRPr="00343B5C" w:rsidRDefault="007972AE" w:rsidP="00B70F54">
      <w:pPr>
        <w:pStyle w:val="ListParagraph"/>
        <w:numPr>
          <w:ilvl w:val="0"/>
          <w:numId w:val="3"/>
        </w:numPr>
        <w:ind w:left="567" w:hanging="425"/>
      </w:pPr>
      <w:r w:rsidRPr="00343B5C">
        <w:t>confirms that the institution will clearly signpost its students to HEFCW’s complaints processes.</w:t>
      </w:r>
    </w:p>
    <w:p w14:paraId="5F94FC3D" w14:textId="77777777" w:rsidR="002A4524" w:rsidRPr="00343B5C" w:rsidRDefault="002A4524" w:rsidP="002A4524">
      <w:pPr>
        <w:ind w:left="0" w:firstLine="0"/>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85"/>
        <w:gridCol w:w="10064"/>
      </w:tblGrid>
      <w:tr w:rsidR="00343B5C" w:rsidRPr="00343B5C" w14:paraId="488F5C73" w14:textId="77777777" w:rsidTr="000174FC">
        <w:tc>
          <w:tcPr>
            <w:tcW w:w="14449" w:type="dxa"/>
            <w:gridSpan w:val="2"/>
            <w:shd w:val="clear" w:color="auto" w:fill="EEECE1" w:themeFill="background2"/>
          </w:tcPr>
          <w:p w14:paraId="719DA9FE" w14:textId="77777777" w:rsidR="00621256" w:rsidRPr="00343B5C" w:rsidRDefault="00744418" w:rsidP="00723DFE">
            <w:pPr>
              <w:ind w:left="0" w:firstLine="0"/>
              <w:jc w:val="center"/>
            </w:pPr>
            <w:r w:rsidRPr="00343B5C">
              <w:rPr>
                <w:b/>
              </w:rPr>
              <w:t>F</w:t>
            </w:r>
            <w:r w:rsidR="00621256" w:rsidRPr="00343B5C">
              <w:rPr>
                <w:b/>
              </w:rPr>
              <w:t xml:space="preserve">ee and access plan </w:t>
            </w:r>
            <w:r w:rsidR="001C5064" w:rsidRPr="00343B5C">
              <w:rPr>
                <w:b/>
              </w:rPr>
              <w:t xml:space="preserve">application </w:t>
            </w:r>
            <w:r w:rsidR="00621256" w:rsidRPr="00343B5C">
              <w:rPr>
                <w:b/>
              </w:rPr>
              <w:t>submission</w:t>
            </w:r>
            <w:r w:rsidR="009736DA" w:rsidRPr="00343B5C">
              <w:rPr>
                <w:b/>
              </w:rPr>
              <w:t xml:space="preserve"> to HEFCW</w:t>
            </w:r>
            <w:r w:rsidR="00375BF2" w:rsidRPr="00343B5C">
              <w:rPr>
                <w:rStyle w:val="FootnoteReference"/>
                <w:b/>
              </w:rPr>
              <w:footnoteReference w:id="2"/>
            </w:r>
          </w:p>
        </w:tc>
      </w:tr>
      <w:tr w:rsidR="00343B5C" w:rsidRPr="00343B5C" w14:paraId="01059D27" w14:textId="77777777" w:rsidTr="000174FC">
        <w:tc>
          <w:tcPr>
            <w:tcW w:w="4385" w:type="dxa"/>
          </w:tcPr>
          <w:p w14:paraId="3EDA8643" w14:textId="77777777" w:rsidR="00082F48" w:rsidRPr="00343B5C" w:rsidRDefault="006C0A52" w:rsidP="00082F48">
            <w:pPr>
              <w:ind w:left="0" w:firstLine="0"/>
            </w:pPr>
            <w:r w:rsidRPr="00343B5C">
              <w:t xml:space="preserve">Date of </w:t>
            </w:r>
            <w:r w:rsidR="001C5064" w:rsidRPr="00343B5C">
              <w:t>G</w:t>
            </w:r>
            <w:r w:rsidRPr="00343B5C">
              <w:t xml:space="preserve">overning </w:t>
            </w:r>
            <w:r w:rsidR="001C5064" w:rsidRPr="00343B5C">
              <w:t>B</w:t>
            </w:r>
            <w:r w:rsidR="00162103" w:rsidRPr="00343B5C">
              <w:t>ody approval:</w:t>
            </w:r>
          </w:p>
        </w:tc>
        <w:tc>
          <w:tcPr>
            <w:tcW w:w="10064" w:type="dxa"/>
          </w:tcPr>
          <w:p w14:paraId="605D940D" w14:textId="622A7B78" w:rsidR="00082F48" w:rsidRPr="00343B5C" w:rsidRDefault="00291F64" w:rsidP="0038722F">
            <w:r>
              <w:t>09 July 2021</w:t>
            </w:r>
          </w:p>
        </w:tc>
      </w:tr>
      <w:tr w:rsidR="00343B5C" w:rsidRPr="00343B5C" w14:paraId="44FE3BF1" w14:textId="77777777" w:rsidTr="000174FC">
        <w:tc>
          <w:tcPr>
            <w:tcW w:w="4385" w:type="dxa"/>
          </w:tcPr>
          <w:p w14:paraId="4F6AA042" w14:textId="77777777" w:rsidR="00082F48" w:rsidRPr="00343B5C" w:rsidRDefault="00EB18AB" w:rsidP="00F66A49">
            <w:pPr>
              <w:ind w:left="0" w:firstLine="0"/>
            </w:pPr>
            <w:r w:rsidRPr="00343B5C">
              <w:t xml:space="preserve">Governing </w:t>
            </w:r>
            <w:r w:rsidR="001C5064" w:rsidRPr="00343B5C">
              <w:t>B</w:t>
            </w:r>
            <w:r w:rsidRPr="00343B5C">
              <w:t>ody</w:t>
            </w:r>
            <w:r w:rsidR="00B2339B" w:rsidRPr="00343B5C">
              <w:t xml:space="preserve"> a</w:t>
            </w:r>
            <w:r w:rsidR="00F45CC8" w:rsidRPr="00343B5C">
              <w:t>uthorised signature</w:t>
            </w:r>
            <w:r w:rsidR="00082F48" w:rsidRPr="00343B5C">
              <w:t>:</w:t>
            </w:r>
          </w:p>
        </w:tc>
        <w:tc>
          <w:tcPr>
            <w:tcW w:w="10064" w:type="dxa"/>
          </w:tcPr>
          <w:p w14:paraId="4892DB92" w14:textId="47DE23BF" w:rsidR="00082F48" w:rsidRPr="00343B5C" w:rsidRDefault="00291F64" w:rsidP="0038722F">
            <w:r>
              <w:rPr>
                <w:noProof/>
              </w:rPr>
              <w:drawing>
                <wp:inline distT="0" distB="0" distL="0" distR="0" wp14:anchorId="300E2AAF" wp14:editId="5FE04DBA">
                  <wp:extent cx="1497330" cy="614934"/>
                  <wp:effectExtent l="0" t="0" r="762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7330" cy="614934"/>
                          </a:xfrm>
                          <a:prstGeom prst="rect">
                            <a:avLst/>
                          </a:prstGeom>
                        </pic:spPr>
                      </pic:pic>
                    </a:graphicData>
                  </a:graphic>
                </wp:inline>
              </w:drawing>
            </w:r>
          </w:p>
        </w:tc>
      </w:tr>
      <w:tr w:rsidR="00343B5C" w:rsidRPr="00343B5C" w14:paraId="63DD2F47" w14:textId="77777777" w:rsidTr="000174FC">
        <w:tc>
          <w:tcPr>
            <w:tcW w:w="4385" w:type="dxa"/>
          </w:tcPr>
          <w:p w14:paraId="684E6676" w14:textId="77777777" w:rsidR="00621256" w:rsidRPr="00343B5C" w:rsidRDefault="00621256" w:rsidP="005A5BB1">
            <w:pPr>
              <w:ind w:left="0" w:firstLine="0"/>
            </w:pPr>
            <w:r w:rsidRPr="00343B5C">
              <w:t>Date:</w:t>
            </w:r>
          </w:p>
        </w:tc>
        <w:tc>
          <w:tcPr>
            <w:tcW w:w="10064" w:type="dxa"/>
          </w:tcPr>
          <w:p w14:paraId="22BDBBDF" w14:textId="7468A23D" w:rsidR="00621256" w:rsidRPr="00291F64" w:rsidRDefault="00291F64" w:rsidP="00291F64">
            <w:pPr>
              <w:rPr>
                <w:bCs/>
              </w:rPr>
            </w:pPr>
            <w:r>
              <w:rPr>
                <w:bCs/>
              </w:rPr>
              <w:t>09/07/2021</w:t>
            </w:r>
          </w:p>
        </w:tc>
      </w:tr>
    </w:tbl>
    <w:p w14:paraId="0A4DB18E" w14:textId="77777777" w:rsidR="003E6235" w:rsidRPr="00343B5C" w:rsidRDefault="003E6235" w:rsidP="00813701">
      <w:pPr>
        <w:ind w:left="0" w:firstLine="0"/>
      </w:pPr>
    </w:p>
    <w:p w14:paraId="61A150D4" w14:textId="77777777" w:rsidR="00935FD2" w:rsidRPr="00343B5C" w:rsidRDefault="00935FD2" w:rsidP="00813701">
      <w:pPr>
        <w:ind w:left="0" w:firstLine="0"/>
      </w:pPr>
    </w:p>
    <w:sectPr w:rsidR="00935FD2" w:rsidRPr="00343B5C" w:rsidSect="00FB47F0">
      <w:footerReference w:type="default" r:id="rId14"/>
      <w:pgSz w:w="16838" w:h="11906" w:orient="landscape"/>
      <w:pgMar w:top="284"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385F" w14:textId="77777777" w:rsidR="006C218A" w:rsidRDefault="006C218A" w:rsidP="004128AB">
      <w:r>
        <w:separator/>
      </w:r>
    </w:p>
  </w:endnote>
  <w:endnote w:type="continuationSeparator" w:id="0">
    <w:p w14:paraId="0D5253F2" w14:textId="77777777" w:rsidR="006C218A" w:rsidRDefault="006C218A" w:rsidP="004128AB">
      <w:r>
        <w:continuationSeparator/>
      </w:r>
    </w:p>
  </w:endnote>
  <w:endnote w:type="continuationNotice" w:id="1">
    <w:p w14:paraId="6C767D1B" w14:textId="77777777" w:rsidR="006C218A" w:rsidRDefault="006C2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51476"/>
      <w:docPartObj>
        <w:docPartGallery w:val="Page Numbers (Bottom of Page)"/>
        <w:docPartUnique/>
      </w:docPartObj>
    </w:sdtPr>
    <w:sdtEndPr>
      <w:rPr>
        <w:noProof/>
      </w:rPr>
    </w:sdtEndPr>
    <w:sdtContent>
      <w:p w14:paraId="4D33EFA9" w14:textId="39029823" w:rsidR="00F6290D" w:rsidRDefault="00F6290D" w:rsidP="00F211E6">
        <w:pPr>
          <w:pStyle w:val="Footer"/>
          <w:jc w:val="center"/>
        </w:pPr>
        <w:r>
          <w:fldChar w:fldCharType="begin"/>
        </w:r>
        <w:r>
          <w:instrText xml:space="preserve"> PAGE   \* MERGEFORMAT </w:instrText>
        </w:r>
        <w:r>
          <w:fldChar w:fldCharType="separate"/>
        </w:r>
        <w:r w:rsidR="0084351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3575" w14:textId="77777777" w:rsidR="006C218A" w:rsidRDefault="006C218A" w:rsidP="004128AB">
      <w:r>
        <w:separator/>
      </w:r>
    </w:p>
  </w:footnote>
  <w:footnote w:type="continuationSeparator" w:id="0">
    <w:p w14:paraId="3A852B66" w14:textId="77777777" w:rsidR="006C218A" w:rsidRDefault="006C218A" w:rsidP="004128AB">
      <w:r>
        <w:continuationSeparator/>
      </w:r>
    </w:p>
  </w:footnote>
  <w:footnote w:type="continuationNotice" w:id="1">
    <w:p w14:paraId="77B8F745" w14:textId="77777777" w:rsidR="006C218A" w:rsidRDefault="006C218A"/>
  </w:footnote>
  <w:footnote w:id="2">
    <w:p w14:paraId="4588FFCA" w14:textId="77777777" w:rsidR="00F6290D" w:rsidRDefault="00F6290D" w:rsidP="007F33CC">
      <w:pPr>
        <w:pStyle w:val="FootnoteText"/>
        <w:ind w:left="426" w:hanging="69"/>
      </w:pPr>
      <w:r>
        <w:rPr>
          <w:rStyle w:val="FootnoteReference"/>
        </w:rPr>
        <w:footnoteRef/>
      </w:r>
      <w:r>
        <w:t xml:space="preserve"> Fee and access plans published on the institution’s websites </w:t>
      </w:r>
      <w:r w:rsidRPr="00ED4F26">
        <w:t>must only include versions approved by HEFCW</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27A73"/>
    <w:multiLevelType w:val="hybridMultilevel"/>
    <w:tmpl w:val="1A4E6C20"/>
    <w:lvl w:ilvl="0" w:tplc="130AAABE">
      <w:start w:val="1"/>
      <w:numFmt w:val="decimal"/>
      <w:lvlText w:val="%1."/>
      <w:lvlJc w:val="left"/>
      <w:pPr>
        <w:ind w:left="720" w:hanging="360"/>
      </w:pPr>
      <w:rPr>
        <w:b w:val="0"/>
      </w:rPr>
    </w:lvl>
    <w:lvl w:ilvl="1" w:tplc="59FCB42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F6606FA">
      <w:start w:val="2"/>
      <w:numFmt w:val="lowerLetter"/>
      <w:lvlText w:val="%4)"/>
      <w:lvlJc w:val="left"/>
      <w:pPr>
        <w:ind w:left="2880" w:hanging="360"/>
      </w:pPr>
      <w:rPr>
        <w:rFonts w:hint="default"/>
      </w:rPr>
    </w:lvl>
    <w:lvl w:ilvl="4" w:tplc="6DA23702">
      <w:start w:val="1"/>
      <w:numFmt w:val="decimal"/>
      <w:lvlText w:val="%5)"/>
      <w:lvlJc w:val="left"/>
      <w:pPr>
        <w:ind w:left="3600" w:hanging="360"/>
      </w:pPr>
      <w:rPr>
        <w:rFonts w:hint="default"/>
      </w:rPr>
    </w:lvl>
    <w:lvl w:ilvl="5" w:tplc="A95A5946">
      <w:start w:val="2"/>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70792"/>
    <w:multiLevelType w:val="hybridMultilevel"/>
    <w:tmpl w:val="322C2D8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F5D1734"/>
    <w:multiLevelType w:val="hybridMultilevel"/>
    <w:tmpl w:val="AA6E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8"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46E2C40"/>
    <w:multiLevelType w:val="hybridMultilevel"/>
    <w:tmpl w:val="9EAA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0558A"/>
    <w:multiLevelType w:val="hybridMultilevel"/>
    <w:tmpl w:val="CC90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3"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53A82708"/>
    <w:multiLevelType w:val="hybridMultilevel"/>
    <w:tmpl w:val="F3468FCC"/>
    <w:lvl w:ilvl="0" w:tplc="17A6A496">
      <w:start w:val="1"/>
      <w:numFmt w:val="bullet"/>
      <w:lvlText w:val=""/>
      <w:lvlJc w:val="left"/>
      <w:pPr>
        <w:ind w:left="819" w:hanging="360"/>
      </w:pPr>
      <w:rPr>
        <w:rFonts w:ascii="Symbol" w:hAnsi="Symbol" w:hint="default"/>
        <w:color w:val="auto"/>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8" w15:restartNumberingAfterBreak="0">
    <w:nsid w:val="54DB2620"/>
    <w:multiLevelType w:val="hybridMultilevel"/>
    <w:tmpl w:val="82F8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0"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2" w15:restartNumberingAfterBreak="0">
    <w:nsid w:val="67ED3A9D"/>
    <w:multiLevelType w:val="hybridMultilevel"/>
    <w:tmpl w:val="C4DE1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6AC138E4"/>
    <w:multiLevelType w:val="hybridMultilevel"/>
    <w:tmpl w:val="4434E0E4"/>
    <w:lvl w:ilvl="0" w:tplc="2DFC72A2">
      <w:start w:val="1"/>
      <w:numFmt w:val="bullet"/>
      <w:lvlText w:val=""/>
      <w:lvlJc w:val="left"/>
      <w:pPr>
        <w:ind w:left="1428" w:hanging="360"/>
      </w:pPr>
      <w:rPr>
        <w:rFonts w:ascii="Symbol" w:hAnsi="Symbol" w:hint="default"/>
        <w:color w:val="auto"/>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6" w15:restartNumberingAfterBreak="0">
    <w:nsid w:val="6C427AA5"/>
    <w:multiLevelType w:val="hybridMultilevel"/>
    <w:tmpl w:val="E570BA52"/>
    <w:lvl w:ilvl="0" w:tplc="2E9EE446">
      <w:start w:val="1"/>
      <w:numFmt w:val="lowerRoman"/>
      <w:lvlText w:val="%1."/>
      <w:lvlJc w:val="left"/>
      <w:pPr>
        <w:ind w:left="1429" w:hanging="360"/>
      </w:pPr>
      <w:rPr>
        <w:rFonts w:hint="default"/>
      </w:rPr>
    </w:lvl>
    <w:lvl w:ilvl="1" w:tplc="9F480078">
      <w:start w:val="1"/>
      <w:numFmt w:val="decimal"/>
      <w:lvlText w:val="%2"/>
      <w:lvlJc w:val="left"/>
      <w:pPr>
        <w:ind w:left="2149" w:hanging="360"/>
      </w:pPr>
      <w:rPr>
        <w:rFonts w:ascii="Arial" w:eastAsia="Times New Roman" w:hAnsi="Arial" w:cs="Arial"/>
      </w:r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F24F6"/>
    <w:multiLevelType w:val="hybridMultilevel"/>
    <w:tmpl w:val="3CCCBF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7053A8D"/>
    <w:multiLevelType w:val="hybridMultilevel"/>
    <w:tmpl w:val="15BAEE9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2"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50586"/>
    <w:multiLevelType w:val="hybridMultilevel"/>
    <w:tmpl w:val="CDE66B0E"/>
    <w:lvl w:ilvl="0" w:tplc="5562018E">
      <w:start w:val="1"/>
      <w:numFmt w:val="bullet"/>
      <w:lvlText w:val=""/>
      <w:lvlJc w:val="left"/>
      <w:pPr>
        <w:ind w:left="1179" w:hanging="360"/>
      </w:pPr>
      <w:rPr>
        <w:rFonts w:ascii="Wingdings" w:hAnsi="Wingdings" w:hint="default"/>
        <w:color w:val="auto"/>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4" w15:restartNumberingAfterBreak="0">
    <w:nsid w:val="7CAB02D2"/>
    <w:multiLevelType w:val="hybridMultilevel"/>
    <w:tmpl w:val="29B6772C"/>
    <w:lvl w:ilvl="0" w:tplc="69B4A28C">
      <w:start w:val="1"/>
      <w:numFmt w:val="bullet"/>
      <w:lvlText w:val=""/>
      <w:lvlJc w:val="left"/>
      <w:pPr>
        <w:ind w:left="753" w:hanging="360"/>
      </w:pPr>
      <w:rPr>
        <w:rFonts w:ascii="Symbol" w:hAnsi="Symbol"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30"/>
  </w:num>
  <w:num w:numId="3">
    <w:abstractNumId w:val="35"/>
  </w:num>
  <w:num w:numId="4">
    <w:abstractNumId w:val="27"/>
  </w:num>
  <w:num w:numId="5">
    <w:abstractNumId w:val="0"/>
  </w:num>
  <w:num w:numId="6">
    <w:abstractNumId w:val="32"/>
  </w:num>
  <w:num w:numId="7">
    <w:abstractNumId w:val="28"/>
  </w:num>
  <w:num w:numId="8">
    <w:abstractNumId w:val="24"/>
  </w:num>
  <w:num w:numId="9">
    <w:abstractNumId w:val="17"/>
  </w:num>
  <w:num w:numId="10">
    <w:abstractNumId w:val="34"/>
  </w:num>
  <w:num w:numId="11">
    <w:abstractNumId w:val="16"/>
  </w:num>
  <w:num w:numId="12">
    <w:abstractNumId w:val="13"/>
  </w:num>
  <w:num w:numId="13">
    <w:abstractNumId w:val="23"/>
  </w:num>
  <w:num w:numId="14">
    <w:abstractNumId w:val="12"/>
  </w:num>
  <w:num w:numId="15">
    <w:abstractNumId w:val="15"/>
  </w:num>
  <w:num w:numId="16">
    <w:abstractNumId w:val="20"/>
  </w:num>
  <w:num w:numId="17">
    <w:abstractNumId w:val="19"/>
  </w:num>
  <w:num w:numId="18">
    <w:abstractNumId w:val="8"/>
  </w:num>
  <w:num w:numId="19">
    <w:abstractNumId w:val="36"/>
  </w:num>
  <w:num w:numId="20">
    <w:abstractNumId w:val="21"/>
  </w:num>
  <w:num w:numId="21">
    <w:abstractNumId w:val="6"/>
  </w:num>
  <w:num w:numId="22">
    <w:abstractNumId w:val="4"/>
  </w:num>
  <w:num w:numId="23">
    <w:abstractNumId w:val="11"/>
  </w:num>
  <w:num w:numId="24">
    <w:abstractNumId w:val="25"/>
  </w:num>
  <w:num w:numId="25">
    <w:abstractNumId w:val="14"/>
  </w:num>
  <w:num w:numId="26">
    <w:abstractNumId w:val="33"/>
  </w:num>
  <w:num w:numId="27">
    <w:abstractNumId w:val="3"/>
  </w:num>
  <w:num w:numId="28">
    <w:abstractNumId w:val="7"/>
  </w:num>
  <w:num w:numId="29">
    <w:abstractNumId w:val="26"/>
  </w:num>
  <w:num w:numId="30">
    <w:abstractNumId w:val="1"/>
  </w:num>
  <w:num w:numId="31">
    <w:abstractNumId w:val="10"/>
  </w:num>
  <w:num w:numId="32">
    <w:abstractNumId w:val="22"/>
  </w:num>
  <w:num w:numId="33">
    <w:abstractNumId w:val="9"/>
  </w:num>
  <w:num w:numId="34">
    <w:abstractNumId w:val="2"/>
  </w:num>
  <w:num w:numId="35">
    <w:abstractNumId w:val="18"/>
  </w:num>
  <w:num w:numId="36">
    <w:abstractNumId w:val="29"/>
  </w:num>
  <w:num w:numId="37">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26B0"/>
    <w:rsid w:val="000142E0"/>
    <w:rsid w:val="00014500"/>
    <w:rsid w:val="000163A4"/>
    <w:rsid w:val="000170D0"/>
    <w:rsid w:val="000174FC"/>
    <w:rsid w:val="00021C7F"/>
    <w:rsid w:val="000257FD"/>
    <w:rsid w:val="00033AE0"/>
    <w:rsid w:val="000373CC"/>
    <w:rsid w:val="00040F92"/>
    <w:rsid w:val="00040FDD"/>
    <w:rsid w:val="00041A0A"/>
    <w:rsid w:val="000423B5"/>
    <w:rsid w:val="0004336B"/>
    <w:rsid w:val="000444A9"/>
    <w:rsid w:val="0004580B"/>
    <w:rsid w:val="00047D0E"/>
    <w:rsid w:val="000514D8"/>
    <w:rsid w:val="00051EAC"/>
    <w:rsid w:val="000525AB"/>
    <w:rsid w:val="000526C1"/>
    <w:rsid w:val="0005433C"/>
    <w:rsid w:val="000612E4"/>
    <w:rsid w:val="000633A1"/>
    <w:rsid w:val="00063853"/>
    <w:rsid w:val="00073A8B"/>
    <w:rsid w:val="00076B86"/>
    <w:rsid w:val="0008232D"/>
    <w:rsid w:val="00082F48"/>
    <w:rsid w:val="000927C5"/>
    <w:rsid w:val="00092FED"/>
    <w:rsid w:val="00095EF2"/>
    <w:rsid w:val="00097111"/>
    <w:rsid w:val="000A0D70"/>
    <w:rsid w:val="000A1360"/>
    <w:rsid w:val="000A1B5A"/>
    <w:rsid w:val="000A1EFD"/>
    <w:rsid w:val="000A40B3"/>
    <w:rsid w:val="000A5F3B"/>
    <w:rsid w:val="000B2C1D"/>
    <w:rsid w:val="000B4A9D"/>
    <w:rsid w:val="000B57DE"/>
    <w:rsid w:val="000B7018"/>
    <w:rsid w:val="000B740D"/>
    <w:rsid w:val="000B7935"/>
    <w:rsid w:val="000C08B9"/>
    <w:rsid w:val="000C6E8E"/>
    <w:rsid w:val="000D043C"/>
    <w:rsid w:val="000D2807"/>
    <w:rsid w:val="000D41F9"/>
    <w:rsid w:val="000D44D0"/>
    <w:rsid w:val="000D494C"/>
    <w:rsid w:val="000D5FA3"/>
    <w:rsid w:val="000D7559"/>
    <w:rsid w:val="000E30E9"/>
    <w:rsid w:val="000E35EF"/>
    <w:rsid w:val="000E3772"/>
    <w:rsid w:val="000E3B2C"/>
    <w:rsid w:val="000E67E2"/>
    <w:rsid w:val="000E7CC8"/>
    <w:rsid w:val="000F4C25"/>
    <w:rsid w:val="000F6BD4"/>
    <w:rsid w:val="001016E3"/>
    <w:rsid w:val="00101F8A"/>
    <w:rsid w:val="00102715"/>
    <w:rsid w:val="001032A1"/>
    <w:rsid w:val="001032F0"/>
    <w:rsid w:val="00103AA5"/>
    <w:rsid w:val="00105620"/>
    <w:rsid w:val="00110D00"/>
    <w:rsid w:val="00111D7E"/>
    <w:rsid w:val="00112932"/>
    <w:rsid w:val="00115317"/>
    <w:rsid w:val="00120638"/>
    <w:rsid w:val="00122BB2"/>
    <w:rsid w:val="00122D3D"/>
    <w:rsid w:val="00122E8C"/>
    <w:rsid w:val="001258F8"/>
    <w:rsid w:val="00126FC2"/>
    <w:rsid w:val="00133FEE"/>
    <w:rsid w:val="0013669F"/>
    <w:rsid w:val="001375AD"/>
    <w:rsid w:val="001378FD"/>
    <w:rsid w:val="0014072F"/>
    <w:rsid w:val="00143582"/>
    <w:rsid w:val="001437D5"/>
    <w:rsid w:val="0014419D"/>
    <w:rsid w:val="00145A6F"/>
    <w:rsid w:val="001473B5"/>
    <w:rsid w:val="00150C77"/>
    <w:rsid w:val="00151484"/>
    <w:rsid w:val="001567DB"/>
    <w:rsid w:val="00157968"/>
    <w:rsid w:val="00157C98"/>
    <w:rsid w:val="0016019A"/>
    <w:rsid w:val="00161C8E"/>
    <w:rsid w:val="00162103"/>
    <w:rsid w:val="00166013"/>
    <w:rsid w:val="00167B12"/>
    <w:rsid w:val="00170A9D"/>
    <w:rsid w:val="0017248F"/>
    <w:rsid w:val="001725F5"/>
    <w:rsid w:val="0017554D"/>
    <w:rsid w:val="00175570"/>
    <w:rsid w:val="00176299"/>
    <w:rsid w:val="00181FFF"/>
    <w:rsid w:val="00182CC1"/>
    <w:rsid w:val="00185EDD"/>
    <w:rsid w:val="00187651"/>
    <w:rsid w:val="00192128"/>
    <w:rsid w:val="00194F5F"/>
    <w:rsid w:val="00197FCB"/>
    <w:rsid w:val="001A0001"/>
    <w:rsid w:val="001A1EE1"/>
    <w:rsid w:val="001A50AE"/>
    <w:rsid w:val="001A70A5"/>
    <w:rsid w:val="001A7286"/>
    <w:rsid w:val="001A7374"/>
    <w:rsid w:val="001B1766"/>
    <w:rsid w:val="001B36C0"/>
    <w:rsid w:val="001B3701"/>
    <w:rsid w:val="001B4FD8"/>
    <w:rsid w:val="001B52E8"/>
    <w:rsid w:val="001B7446"/>
    <w:rsid w:val="001C4FA6"/>
    <w:rsid w:val="001C5064"/>
    <w:rsid w:val="001C6D52"/>
    <w:rsid w:val="001C72F3"/>
    <w:rsid w:val="001C7C7E"/>
    <w:rsid w:val="001D70C7"/>
    <w:rsid w:val="001E3281"/>
    <w:rsid w:val="001E3FAB"/>
    <w:rsid w:val="001E40F0"/>
    <w:rsid w:val="001E5672"/>
    <w:rsid w:val="001E6C3B"/>
    <w:rsid w:val="001F04C4"/>
    <w:rsid w:val="001F4B4D"/>
    <w:rsid w:val="001F4EE8"/>
    <w:rsid w:val="002003D2"/>
    <w:rsid w:val="0020242B"/>
    <w:rsid w:val="002050C1"/>
    <w:rsid w:val="0020696A"/>
    <w:rsid w:val="002074C8"/>
    <w:rsid w:val="00210B51"/>
    <w:rsid w:val="002125C5"/>
    <w:rsid w:val="002139BC"/>
    <w:rsid w:val="00214AEE"/>
    <w:rsid w:val="00215C7B"/>
    <w:rsid w:val="00224735"/>
    <w:rsid w:val="002260E5"/>
    <w:rsid w:val="00226ED2"/>
    <w:rsid w:val="002312AE"/>
    <w:rsid w:val="002325D7"/>
    <w:rsid w:val="00233876"/>
    <w:rsid w:val="00240407"/>
    <w:rsid w:val="002406A0"/>
    <w:rsid w:val="00245036"/>
    <w:rsid w:val="00245147"/>
    <w:rsid w:val="00245629"/>
    <w:rsid w:val="00254FC3"/>
    <w:rsid w:val="002554BF"/>
    <w:rsid w:val="002602FC"/>
    <w:rsid w:val="0026570B"/>
    <w:rsid w:val="00265997"/>
    <w:rsid w:val="00265DD0"/>
    <w:rsid w:val="00266319"/>
    <w:rsid w:val="002703FC"/>
    <w:rsid w:val="00272466"/>
    <w:rsid w:val="00274316"/>
    <w:rsid w:val="002750CA"/>
    <w:rsid w:val="00276032"/>
    <w:rsid w:val="00277242"/>
    <w:rsid w:val="00283717"/>
    <w:rsid w:val="002837AC"/>
    <w:rsid w:val="002841A7"/>
    <w:rsid w:val="00286B1D"/>
    <w:rsid w:val="00291F64"/>
    <w:rsid w:val="00291FCF"/>
    <w:rsid w:val="00294933"/>
    <w:rsid w:val="00294BBC"/>
    <w:rsid w:val="00295059"/>
    <w:rsid w:val="00296726"/>
    <w:rsid w:val="00297E6D"/>
    <w:rsid w:val="002A08B5"/>
    <w:rsid w:val="002A4524"/>
    <w:rsid w:val="002A5A91"/>
    <w:rsid w:val="002A5CEE"/>
    <w:rsid w:val="002A69EE"/>
    <w:rsid w:val="002B45F5"/>
    <w:rsid w:val="002B7A98"/>
    <w:rsid w:val="002C0115"/>
    <w:rsid w:val="002C0C1A"/>
    <w:rsid w:val="002C108E"/>
    <w:rsid w:val="002C212C"/>
    <w:rsid w:val="002C275C"/>
    <w:rsid w:val="002C322B"/>
    <w:rsid w:val="002C41E8"/>
    <w:rsid w:val="002C7B1B"/>
    <w:rsid w:val="002D1353"/>
    <w:rsid w:val="002D149B"/>
    <w:rsid w:val="002D158E"/>
    <w:rsid w:val="002D241D"/>
    <w:rsid w:val="002D3174"/>
    <w:rsid w:val="002D319C"/>
    <w:rsid w:val="002D72CF"/>
    <w:rsid w:val="002D7B0D"/>
    <w:rsid w:val="002E2C32"/>
    <w:rsid w:val="002E3695"/>
    <w:rsid w:val="002E43C6"/>
    <w:rsid w:val="002E45E8"/>
    <w:rsid w:val="002E6837"/>
    <w:rsid w:val="002F26BE"/>
    <w:rsid w:val="002F34E9"/>
    <w:rsid w:val="002F7073"/>
    <w:rsid w:val="002F7776"/>
    <w:rsid w:val="003004C8"/>
    <w:rsid w:val="003050F6"/>
    <w:rsid w:val="00312067"/>
    <w:rsid w:val="0031431C"/>
    <w:rsid w:val="0032196F"/>
    <w:rsid w:val="0032511C"/>
    <w:rsid w:val="00325288"/>
    <w:rsid w:val="00334CB6"/>
    <w:rsid w:val="00336561"/>
    <w:rsid w:val="00337BEC"/>
    <w:rsid w:val="003406D5"/>
    <w:rsid w:val="003434DF"/>
    <w:rsid w:val="00343B5C"/>
    <w:rsid w:val="003448C8"/>
    <w:rsid w:val="00345A4E"/>
    <w:rsid w:val="00347C31"/>
    <w:rsid w:val="0035036A"/>
    <w:rsid w:val="00350CAA"/>
    <w:rsid w:val="003524CC"/>
    <w:rsid w:val="003560DF"/>
    <w:rsid w:val="00356CCD"/>
    <w:rsid w:val="00360339"/>
    <w:rsid w:val="00360AC3"/>
    <w:rsid w:val="00360D8F"/>
    <w:rsid w:val="00372606"/>
    <w:rsid w:val="003749D8"/>
    <w:rsid w:val="00375BF2"/>
    <w:rsid w:val="003778A9"/>
    <w:rsid w:val="0038352F"/>
    <w:rsid w:val="00383936"/>
    <w:rsid w:val="00386366"/>
    <w:rsid w:val="0038722F"/>
    <w:rsid w:val="0039286C"/>
    <w:rsid w:val="00393D9B"/>
    <w:rsid w:val="00397343"/>
    <w:rsid w:val="003A0065"/>
    <w:rsid w:val="003A236C"/>
    <w:rsid w:val="003A5A11"/>
    <w:rsid w:val="003A5BC6"/>
    <w:rsid w:val="003B3602"/>
    <w:rsid w:val="003B5934"/>
    <w:rsid w:val="003B6026"/>
    <w:rsid w:val="003C136E"/>
    <w:rsid w:val="003C3A81"/>
    <w:rsid w:val="003C3C49"/>
    <w:rsid w:val="003C5218"/>
    <w:rsid w:val="003C5559"/>
    <w:rsid w:val="003C7DAB"/>
    <w:rsid w:val="003D117C"/>
    <w:rsid w:val="003D3DFA"/>
    <w:rsid w:val="003D4D0F"/>
    <w:rsid w:val="003D5BCD"/>
    <w:rsid w:val="003D6EAF"/>
    <w:rsid w:val="003E03D3"/>
    <w:rsid w:val="003E0CDA"/>
    <w:rsid w:val="003E1E0E"/>
    <w:rsid w:val="003E20F5"/>
    <w:rsid w:val="003E2923"/>
    <w:rsid w:val="003E2A3F"/>
    <w:rsid w:val="003E4797"/>
    <w:rsid w:val="003E50E3"/>
    <w:rsid w:val="003E5C50"/>
    <w:rsid w:val="003E6235"/>
    <w:rsid w:val="003E6742"/>
    <w:rsid w:val="003E7ED5"/>
    <w:rsid w:val="003F03AF"/>
    <w:rsid w:val="003F5592"/>
    <w:rsid w:val="003F70A0"/>
    <w:rsid w:val="003F7B9F"/>
    <w:rsid w:val="004022EF"/>
    <w:rsid w:val="004055C3"/>
    <w:rsid w:val="004128AB"/>
    <w:rsid w:val="0041795B"/>
    <w:rsid w:val="0042133F"/>
    <w:rsid w:val="00423321"/>
    <w:rsid w:val="004255B1"/>
    <w:rsid w:val="00426370"/>
    <w:rsid w:val="00433D3A"/>
    <w:rsid w:val="00434CC1"/>
    <w:rsid w:val="004353AF"/>
    <w:rsid w:val="0043769F"/>
    <w:rsid w:val="00437B1B"/>
    <w:rsid w:val="0044370A"/>
    <w:rsid w:val="00444410"/>
    <w:rsid w:val="00445290"/>
    <w:rsid w:val="00446080"/>
    <w:rsid w:val="00446085"/>
    <w:rsid w:val="004478C6"/>
    <w:rsid w:val="004519C6"/>
    <w:rsid w:val="00452F72"/>
    <w:rsid w:val="00457DD7"/>
    <w:rsid w:val="00462D72"/>
    <w:rsid w:val="004646CE"/>
    <w:rsid w:val="00464F80"/>
    <w:rsid w:val="00467352"/>
    <w:rsid w:val="00471472"/>
    <w:rsid w:val="00474821"/>
    <w:rsid w:val="004770FF"/>
    <w:rsid w:val="00477FE6"/>
    <w:rsid w:val="00480557"/>
    <w:rsid w:val="00481C00"/>
    <w:rsid w:val="0048524C"/>
    <w:rsid w:val="00485C1C"/>
    <w:rsid w:val="004939B1"/>
    <w:rsid w:val="00495BA4"/>
    <w:rsid w:val="004967C1"/>
    <w:rsid w:val="004A1746"/>
    <w:rsid w:val="004A30DF"/>
    <w:rsid w:val="004A5502"/>
    <w:rsid w:val="004A6A8D"/>
    <w:rsid w:val="004B2485"/>
    <w:rsid w:val="004B2EF4"/>
    <w:rsid w:val="004B554B"/>
    <w:rsid w:val="004B5757"/>
    <w:rsid w:val="004B60B9"/>
    <w:rsid w:val="004B7953"/>
    <w:rsid w:val="004C0A8B"/>
    <w:rsid w:val="004C5E2B"/>
    <w:rsid w:val="004D0162"/>
    <w:rsid w:val="004D179C"/>
    <w:rsid w:val="004D3A64"/>
    <w:rsid w:val="004D634C"/>
    <w:rsid w:val="004D7320"/>
    <w:rsid w:val="004E0996"/>
    <w:rsid w:val="004E0A35"/>
    <w:rsid w:val="004E4728"/>
    <w:rsid w:val="004E4BF6"/>
    <w:rsid w:val="004E4D1C"/>
    <w:rsid w:val="004E73A6"/>
    <w:rsid w:val="004F28DC"/>
    <w:rsid w:val="004F3658"/>
    <w:rsid w:val="004F4174"/>
    <w:rsid w:val="004F5B7F"/>
    <w:rsid w:val="0051242F"/>
    <w:rsid w:val="005137FB"/>
    <w:rsid w:val="00514191"/>
    <w:rsid w:val="00514477"/>
    <w:rsid w:val="00514F82"/>
    <w:rsid w:val="0051518B"/>
    <w:rsid w:val="00517B14"/>
    <w:rsid w:val="00520AEE"/>
    <w:rsid w:val="005222CA"/>
    <w:rsid w:val="005231F5"/>
    <w:rsid w:val="0052510C"/>
    <w:rsid w:val="0053091D"/>
    <w:rsid w:val="00537795"/>
    <w:rsid w:val="005411B1"/>
    <w:rsid w:val="0054355F"/>
    <w:rsid w:val="00547B33"/>
    <w:rsid w:val="00555266"/>
    <w:rsid w:val="00555B94"/>
    <w:rsid w:val="005569DA"/>
    <w:rsid w:val="00561F88"/>
    <w:rsid w:val="005628D5"/>
    <w:rsid w:val="005649FF"/>
    <w:rsid w:val="0056789A"/>
    <w:rsid w:val="00581917"/>
    <w:rsid w:val="00584892"/>
    <w:rsid w:val="0058654F"/>
    <w:rsid w:val="00587635"/>
    <w:rsid w:val="00587CA0"/>
    <w:rsid w:val="00590464"/>
    <w:rsid w:val="00597DC1"/>
    <w:rsid w:val="005A21CB"/>
    <w:rsid w:val="005A39B5"/>
    <w:rsid w:val="005A47A6"/>
    <w:rsid w:val="005A5BB1"/>
    <w:rsid w:val="005A5C8F"/>
    <w:rsid w:val="005A685F"/>
    <w:rsid w:val="005A77B0"/>
    <w:rsid w:val="005B268E"/>
    <w:rsid w:val="005B36E6"/>
    <w:rsid w:val="005C07BB"/>
    <w:rsid w:val="005C28B2"/>
    <w:rsid w:val="005C395F"/>
    <w:rsid w:val="005C6C0C"/>
    <w:rsid w:val="005D0721"/>
    <w:rsid w:val="005D28CA"/>
    <w:rsid w:val="005D30A4"/>
    <w:rsid w:val="005D365C"/>
    <w:rsid w:val="005D4E0D"/>
    <w:rsid w:val="005D7818"/>
    <w:rsid w:val="005E06EE"/>
    <w:rsid w:val="005E0930"/>
    <w:rsid w:val="005E2AC1"/>
    <w:rsid w:val="005E305D"/>
    <w:rsid w:val="005E3F01"/>
    <w:rsid w:val="005E47EE"/>
    <w:rsid w:val="005E49CA"/>
    <w:rsid w:val="005E766A"/>
    <w:rsid w:val="005F1D70"/>
    <w:rsid w:val="005F1D9F"/>
    <w:rsid w:val="005F2B8B"/>
    <w:rsid w:val="005F4E17"/>
    <w:rsid w:val="005F4E84"/>
    <w:rsid w:val="005F526E"/>
    <w:rsid w:val="005F626A"/>
    <w:rsid w:val="00600B96"/>
    <w:rsid w:val="00604472"/>
    <w:rsid w:val="0060478F"/>
    <w:rsid w:val="0060583F"/>
    <w:rsid w:val="00611568"/>
    <w:rsid w:val="00612F92"/>
    <w:rsid w:val="00614A86"/>
    <w:rsid w:val="006150B5"/>
    <w:rsid w:val="00621256"/>
    <w:rsid w:val="00622F55"/>
    <w:rsid w:val="006237B7"/>
    <w:rsid w:val="00624262"/>
    <w:rsid w:val="00625450"/>
    <w:rsid w:val="006269FE"/>
    <w:rsid w:val="006303CC"/>
    <w:rsid w:val="006313DF"/>
    <w:rsid w:val="0064075F"/>
    <w:rsid w:val="00640F44"/>
    <w:rsid w:val="00642FD5"/>
    <w:rsid w:val="0064453B"/>
    <w:rsid w:val="00644639"/>
    <w:rsid w:val="00644FB1"/>
    <w:rsid w:val="006533DD"/>
    <w:rsid w:val="006562BD"/>
    <w:rsid w:val="006566F2"/>
    <w:rsid w:val="00664E7C"/>
    <w:rsid w:val="006707ED"/>
    <w:rsid w:val="00670926"/>
    <w:rsid w:val="006752FF"/>
    <w:rsid w:val="00675D59"/>
    <w:rsid w:val="00681694"/>
    <w:rsid w:val="00682CC8"/>
    <w:rsid w:val="0068334F"/>
    <w:rsid w:val="00686EA5"/>
    <w:rsid w:val="0069276A"/>
    <w:rsid w:val="00695688"/>
    <w:rsid w:val="00695C6F"/>
    <w:rsid w:val="006967AE"/>
    <w:rsid w:val="00696E24"/>
    <w:rsid w:val="006A0710"/>
    <w:rsid w:val="006A2CEF"/>
    <w:rsid w:val="006A6708"/>
    <w:rsid w:val="006A69D9"/>
    <w:rsid w:val="006A706A"/>
    <w:rsid w:val="006B0D12"/>
    <w:rsid w:val="006B4529"/>
    <w:rsid w:val="006B62DB"/>
    <w:rsid w:val="006B7101"/>
    <w:rsid w:val="006B7583"/>
    <w:rsid w:val="006C0A52"/>
    <w:rsid w:val="006C15DE"/>
    <w:rsid w:val="006C218A"/>
    <w:rsid w:val="006C3745"/>
    <w:rsid w:val="006D4D85"/>
    <w:rsid w:val="006D5024"/>
    <w:rsid w:val="006D5618"/>
    <w:rsid w:val="006D5ED6"/>
    <w:rsid w:val="006D60A9"/>
    <w:rsid w:val="006D77CB"/>
    <w:rsid w:val="006E1343"/>
    <w:rsid w:val="006E39B7"/>
    <w:rsid w:val="006E630C"/>
    <w:rsid w:val="006E63D5"/>
    <w:rsid w:val="006E6C46"/>
    <w:rsid w:val="006F02BC"/>
    <w:rsid w:val="006F1C51"/>
    <w:rsid w:val="006F1D1D"/>
    <w:rsid w:val="006F1F11"/>
    <w:rsid w:val="006F35B5"/>
    <w:rsid w:val="00700E23"/>
    <w:rsid w:val="00701D90"/>
    <w:rsid w:val="00701F15"/>
    <w:rsid w:val="00703D41"/>
    <w:rsid w:val="00704DCA"/>
    <w:rsid w:val="00706974"/>
    <w:rsid w:val="00706B43"/>
    <w:rsid w:val="00712E09"/>
    <w:rsid w:val="007130A2"/>
    <w:rsid w:val="007131CD"/>
    <w:rsid w:val="0071373D"/>
    <w:rsid w:val="0071639F"/>
    <w:rsid w:val="00716B27"/>
    <w:rsid w:val="007174C8"/>
    <w:rsid w:val="007217AF"/>
    <w:rsid w:val="00721CEF"/>
    <w:rsid w:val="0072360A"/>
    <w:rsid w:val="00723DFE"/>
    <w:rsid w:val="00734DC4"/>
    <w:rsid w:val="00737BBC"/>
    <w:rsid w:val="00741E48"/>
    <w:rsid w:val="00743148"/>
    <w:rsid w:val="00744418"/>
    <w:rsid w:val="007454D1"/>
    <w:rsid w:val="007457F9"/>
    <w:rsid w:val="0074603F"/>
    <w:rsid w:val="0074738E"/>
    <w:rsid w:val="0075086B"/>
    <w:rsid w:val="00750FA8"/>
    <w:rsid w:val="00751230"/>
    <w:rsid w:val="00755028"/>
    <w:rsid w:val="007609B7"/>
    <w:rsid w:val="0076457D"/>
    <w:rsid w:val="00764B8F"/>
    <w:rsid w:val="00766FA5"/>
    <w:rsid w:val="0076702C"/>
    <w:rsid w:val="00770807"/>
    <w:rsid w:val="007714C5"/>
    <w:rsid w:val="00773DC2"/>
    <w:rsid w:val="00774822"/>
    <w:rsid w:val="0077505E"/>
    <w:rsid w:val="00776ED9"/>
    <w:rsid w:val="007779E1"/>
    <w:rsid w:val="0078053E"/>
    <w:rsid w:val="00781175"/>
    <w:rsid w:val="007825F9"/>
    <w:rsid w:val="00783DF2"/>
    <w:rsid w:val="00784EB3"/>
    <w:rsid w:val="0079083B"/>
    <w:rsid w:val="007908C9"/>
    <w:rsid w:val="00795184"/>
    <w:rsid w:val="00796DD5"/>
    <w:rsid w:val="007972AE"/>
    <w:rsid w:val="007A0B11"/>
    <w:rsid w:val="007A1AEC"/>
    <w:rsid w:val="007A1F31"/>
    <w:rsid w:val="007A3554"/>
    <w:rsid w:val="007A75DC"/>
    <w:rsid w:val="007B2C1D"/>
    <w:rsid w:val="007B404A"/>
    <w:rsid w:val="007B6D6B"/>
    <w:rsid w:val="007C0B94"/>
    <w:rsid w:val="007C0FF9"/>
    <w:rsid w:val="007C20D4"/>
    <w:rsid w:val="007C35AE"/>
    <w:rsid w:val="007C3E7E"/>
    <w:rsid w:val="007C5075"/>
    <w:rsid w:val="007C6510"/>
    <w:rsid w:val="007D1C99"/>
    <w:rsid w:val="007D278D"/>
    <w:rsid w:val="007D41A2"/>
    <w:rsid w:val="007D6BD0"/>
    <w:rsid w:val="007D6C71"/>
    <w:rsid w:val="007D71F9"/>
    <w:rsid w:val="007E07FF"/>
    <w:rsid w:val="007E23CA"/>
    <w:rsid w:val="007E2B2A"/>
    <w:rsid w:val="007E4C30"/>
    <w:rsid w:val="007E5DF4"/>
    <w:rsid w:val="007E71B3"/>
    <w:rsid w:val="007E7BD2"/>
    <w:rsid w:val="007F1C22"/>
    <w:rsid w:val="007F31CA"/>
    <w:rsid w:val="007F33CC"/>
    <w:rsid w:val="007F4BEE"/>
    <w:rsid w:val="00801042"/>
    <w:rsid w:val="00801719"/>
    <w:rsid w:val="008052C2"/>
    <w:rsid w:val="00806388"/>
    <w:rsid w:val="0080732B"/>
    <w:rsid w:val="008074D0"/>
    <w:rsid w:val="00807910"/>
    <w:rsid w:val="00810EBF"/>
    <w:rsid w:val="00813701"/>
    <w:rsid w:val="008137AE"/>
    <w:rsid w:val="0081425D"/>
    <w:rsid w:val="00815CAA"/>
    <w:rsid w:val="00815F5B"/>
    <w:rsid w:val="00822210"/>
    <w:rsid w:val="008235A5"/>
    <w:rsid w:val="0082364E"/>
    <w:rsid w:val="00827635"/>
    <w:rsid w:val="00830A3C"/>
    <w:rsid w:val="0083298F"/>
    <w:rsid w:val="008349AE"/>
    <w:rsid w:val="008375A3"/>
    <w:rsid w:val="00840A5E"/>
    <w:rsid w:val="00840E57"/>
    <w:rsid w:val="0084150C"/>
    <w:rsid w:val="00842AC6"/>
    <w:rsid w:val="00843301"/>
    <w:rsid w:val="00843517"/>
    <w:rsid w:val="00844450"/>
    <w:rsid w:val="00844AE8"/>
    <w:rsid w:val="0084785D"/>
    <w:rsid w:val="008530DD"/>
    <w:rsid w:val="008601F7"/>
    <w:rsid w:val="00861A58"/>
    <w:rsid w:val="00861E8B"/>
    <w:rsid w:val="00864387"/>
    <w:rsid w:val="0087066E"/>
    <w:rsid w:val="0087161D"/>
    <w:rsid w:val="00874ABE"/>
    <w:rsid w:val="00875FBE"/>
    <w:rsid w:val="00876616"/>
    <w:rsid w:val="00876B3D"/>
    <w:rsid w:val="00877E59"/>
    <w:rsid w:val="00880935"/>
    <w:rsid w:val="00881F5A"/>
    <w:rsid w:val="008875C7"/>
    <w:rsid w:val="008912CD"/>
    <w:rsid w:val="00892EA5"/>
    <w:rsid w:val="00893146"/>
    <w:rsid w:val="00894FF1"/>
    <w:rsid w:val="008952A6"/>
    <w:rsid w:val="008972BB"/>
    <w:rsid w:val="008A0C46"/>
    <w:rsid w:val="008A3CCF"/>
    <w:rsid w:val="008A3FE9"/>
    <w:rsid w:val="008A57B1"/>
    <w:rsid w:val="008A7CB6"/>
    <w:rsid w:val="008B04A8"/>
    <w:rsid w:val="008B3EE1"/>
    <w:rsid w:val="008B4E28"/>
    <w:rsid w:val="008B7824"/>
    <w:rsid w:val="008C04A4"/>
    <w:rsid w:val="008C0C50"/>
    <w:rsid w:val="008C31D8"/>
    <w:rsid w:val="008C63DD"/>
    <w:rsid w:val="008D0510"/>
    <w:rsid w:val="008D1C2B"/>
    <w:rsid w:val="008D273A"/>
    <w:rsid w:val="008D3ECF"/>
    <w:rsid w:val="008D44E3"/>
    <w:rsid w:val="008D4667"/>
    <w:rsid w:val="008D47AE"/>
    <w:rsid w:val="008D5A82"/>
    <w:rsid w:val="008D68F0"/>
    <w:rsid w:val="008D6EAF"/>
    <w:rsid w:val="008D735F"/>
    <w:rsid w:val="008D7847"/>
    <w:rsid w:val="008E2679"/>
    <w:rsid w:val="008E5C90"/>
    <w:rsid w:val="008E5EB5"/>
    <w:rsid w:val="008E69CB"/>
    <w:rsid w:val="008E6DE3"/>
    <w:rsid w:val="008E785E"/>
    <w:rsid w:val="008F0A94"/>
    <w:rsid w:val="008F37A2"/>
    <w:rsid w:val="00902BEA"/>
    <w:rsid w:val="009033E8"/>
    <w:rsid w:val="009044EC"/>
    <w:rsid w:val="00904E7F"/>
    <w:rsid w:val="00907079"/>
    <w:rsid w:val="00907923"/>
    <w:rsid w:val="00914146"/>
    <w:rsid w:val="009160B3"/>
    <w:rsid w:val="00916B2A"/>
    <w:rsid w:val="00920039"/>
    <w:rsid w:val="00921024"/>
    <w:rsid w:val="00921253"/>
    <w:rsid w:val="00922560"/>
    <w:rsid w:val="009247B9"/>
    <w:rsid w:val="00925B20"/>
    <w:rsid w:val="00926CA4"/>
    <w:rsid w:val="00926FF2"/>
    <w:rsid w:val="0092779D"/>
    <w:rsid w:val="00927A09"/>
    <w:rsid w:val="00927A6A"/>
    <w:rsid w:val="00930939"/>
    <w:rsid w:val="009310D8"/>
    <w:rsid w:val="009317BC"/>
    <w:rsid w:val="009324F2"/>
    <w:rsid w:val="00933737"/>
    <w:rsid w:val="009337E9"/>
    <w:rsid w:val="00935FD2"/>
    <w:rsid w:val="009370DC"/>
    <w:rsid w:val="009434D3"/>
    <w:rsid w:val="009464DB"/>
    <w:rsid w:val="009467EE"/>
    <w:rsid w:val="009479D7"/>
    <w:rsid w:val="0095783E"/>
    <w:rsid w:val="009578A6"/>
    <w:rsid w:val="009602C1"/>
    <w:rsid w:val="009638B4"/>
    <w:rsid w:val="009644AF"/>
    <w:rsid w:val="009664D5"/>
    <w:rsid w:val="00970444"/>
    <w:rsid w:val="009736DA"/>
    <w:rsid w:val="00973DB3"/>
    <w:rsid w:val="0097545E"/>
    <w:rsid w:val="00977007"/>
    <w:rsid w:val="009771C6"/>
    <w:rsid w:val="00981DDE"/>
    <w:rsid w:val="00983A2A"/>
    <w:rsid w:val="00983D5E"/>
    <w:rsid w:val="00994966"/>
    <w:rsid w:val="00994A8F"/>
    <w:rsid w:val="00997024"/>
    <w:rsid w:val="009973EA"/>
    <w:rsid w:val="009A007F"/>
    <w:rsid w:val="009A116F"/>
    <w:rsid w:val="009A2DD8"/>
    <w:rsid w:val="009A5D48"/>
    <w:rsid w:val="009A72C8"/>
    <w:rsid w:val="009B28AF"/>
    <w:rsid w:val="009B51C0"/>
    <w:rsid w:val="009B5AC1"/>
    <w:rsid w:val="009B6B50"/>
    <w:rsid w:val="009C03A7"/>
    <w:rsid w:val="009C2DC4"/>
    <w:rsid w:val="009C414A"/>
    <w:rsid w:val="009C6C7C"/>
    <w:rsid w:val="009D0C07"/>
    <w:rsid w:val="009D0D93"/>
    <w:rsid w:val="009D1AAD"/>
    <w:rsid w:val="009D3E32"/>
    <w:rsid w:val="009D53B7"/>
    <w:rsid w:val="009E64C4"/>
    <w:rsid w:val="009E6688"/>
    <w:rsid w:val="009E7AD1"/>
    <w:rsid w:val="009F2883"/>
    <w:rsid w:val="009F379F"/>
    <w:rsid w:val="009F51F8"/>
    <w:rsid w:val="009F5209"/>
    <w:rsid w:val="009F65C6"/>
    <w:rsid w:val="009F6E99"/>
    <w:rsid w:val="009F7859"/>
    <w:rsid w:val="00A014F0"/>
    <w:rsid w:val="00A02E81"/>
    <w:rsid w:val="00A05F3F"/>
    <w:rsid w:val="00A103FE"/>
    <w:rsid w:val="00A13517"/>
    <w:rsid w:val="00A1440B"/>
    <w:rsid w:val="00A17812"/>
    <w:rsid w:val="00A17E1F"/>
    <w:rsid w:val="00A17EA5"/>
    <w:rsid w:val="00A20538"/>
    <w:rsid w:val="00A2557D"/>
    <w:rsid w:val="00A27BEF"/>
    <w:rsid w:val="00A3113A"/>
    <w:rsid w:val="00A33BF5"/>
    <w:rsid w:val="00A3495F"/>
    <w:rsid w:val="00A34A83"/>
    <w:rsid w:val="00A35334"/>
    <w:rsid w:val="00A357B8"/>
    <w:rsid w:val="00A37C63"/>
    <w:rsid w:val="00A401CB"/>
    <w:rsid w:val="00A40229"/>
    <w:rsid w:val="00A4067C"/>
    <w:rsid w:val="00A426DE"/>
    <w:rsid w:val="00A43F36"/>
    <w:rsid w:val="00A449B9"/>
    <w:rsid w:val="00A45978"/>
    <w:rsid w:val="00A45CAB"/>
    <w:rsid w:val="00A47616"/>
    <w:rsid w:val="00A478C9"/>
    <w:rsid w:val="00A50C89"/>
    <w:rsid w:val="00A50FD2"/>
    <w:rsid w:val="00A51E21"/>
    <w:rsid w:val="00A52677"/>
    <w:rsid w:val="00A537F5"/>
    <w:rsid w:val="00A56D26"/>
    <w:rsid w:val="00A60D6F"/>
    <w:rsid w:val="00A61EF3"/>
    <w:rsid w:val="00A62DD8"/>
    <w:rsid w:val="00A63631"/>
    <w:rsid w:val="00A6466C"/>
    <w:rsid w:val="00A70AA1"/>
    <w:rsid w:val="00A70EAC"/>
    <w:rsid w:val="00A7441A"/>
    <w:rsid w:val="00A75353"/>
    <w:rsid w:val="00A75908"/>
    <w:rsid w:val="00A83969"/>
    <w:rsid w:val="00A84253"/>
    <w:rsid w:val="00A8596A"/>
    <w:rsid w:val="00A859AD"/>
    <w:rsid w:val="00A8757A"/>
    <w:rsid w:val="00A90357"/>
    <w:rsid w:val="00A912C7"/>
    <w:rsid w:val="00A91482"/>
    <w:rsid w:val="00A91515"/>
    <w:rsid w:val="00A92F06"/>
    <w:rsid w:val="00AA033D"/>
    <w:rsid w:val="00AA05D2"/>
    <w:rsid w:val="00AB0652"/>
    <w:rsid w:val="00AB2933"/>
    <w:rsid w:val="00AB2B0F"/>
    <w:rsid w:val="00AB5562"/>
    <w:rsid w:val="00AC1B72"/>
    <w:rsid w:val="00AC287E"/>
    <w:rsid w:val="00AC2BB1"/>
    <w:rsid w:val="00AC40F8"/>
    <w:rsid w:val="00AC49B2"/>
    <w:rsid w:val="00AC4DD7"/>
    <w:rsid w:val="00AC790E"/>
    <w:rsid w:val="00AD1A81"/>
    <w:rsid w:val="00AD6BF0"/>
    <w:rsid w:val="00AD7DB8"/>
    <w:rsid w:val="00AE2F44"/>
    <w:rsid w:val="00AE5295"/>
    <w:rsid w:val="00AF1567"/>
    <w:rsid w:val="00AF1EE6"/>
    <w:rsid w:val="00AF7772"/>
    <w:rsid w:val="00B00D2F"/>
    <w:rsid w:val="00B04413"/>
    <w:rsid w:val="00B05120"/>
    <w:rsid w:val="00B054E2"/>
    <w:rsid w:val="00B05F08"/>
    <w:rsid w:val="00B0763E"/>
    <w:rsid w:val="00B22359"/>
    <w:rsid w:val="00B2339B"/>
    <w:rsid w:val="00B2523E"/>
    <w:rsid w:val="00B26B41"/>
    <w:rsid w:val="00B30A08"/>
    <w:rsid w:val="00B34A07"/>
    <w:rsid w:val="00B51D73"/>
    <w:rsid w:val="00B53FD9"/>
    <w:rsid w:val="00B54AD5"/>
    <w:rsid w:val="00B605CA"/>
    <w:rsid w:val="00B657C5"/>
    <w:rsid w:val="00B707BA"/>
    <w:rsid w:val="00B70F54"/>
    <w:rsid w:val="00B71354"/>
    <w:rsid w:val="00B7466A"/>
    <w:rsid w:val="00B75393"/>
    <w:rsid w:val="00B77FF7"/>
    <w:rsid w:val="00B80B2B"/>
    <w:rsid w:val="00B8187A"/>
    <w:rsid w:val="00B820F8"/>
    <w:rsid w:val="00B8603F"/>
    <w:rsid w:val="00B87C61"/>
    <w:rsid w:val="00B9724B"/>
    <w:rsid w:val="00B97C63"/>
    <w:rsid w:val="00BA221D"/>
    <w:rsid w:val="00BA2C98"/>
    <w:rsid w:val="00BA59D7"/>
    <w:rsid w:val="00BB1741"/>
    <w:rsid w:val="00BB4D7A"/>
    <w:rsid w:val="00BC1AF1"/>
    <w:rsid w:val="00BC1EB3"/>
    <w:rsid w:val="00BC5C01"/>
    <w:rsid w:val="00BC64E7"/>
    <w:rsid w:val="00BC6D69"/>
    <w:rsid w:val="00BC7463"/>
    <w:rsid w:val="00BD0D05"/>
    <w:rsid w:val="00BD1891"/>
    <w:rsid w:val="00BD2074"/>
    <w:rsid w:val="00BD2A9B"/>
    <w:rsid w:val="00BD4233"/>
    <w:rsid w:val="00BD4569"/>
    <w:rsid w:val="00BE09A9"/>
    <w:rsid w:val="00BE3A64"/>
    <w:rsid w:val="00BE7A65"/>
    <w:rsid w:val="00BE7C61"/>
    <w:rsid w:val="00BF3A71"/>
    <w:rsid w:val="00BF6AA2"/>
    <w:rsid w:val="00C01EF9"/>
    <w:rsid w:val="00C02CBD"/>
    <w:rsid w:val="00C02E87"/>
    <w:rsid w:val="00C03E40"/>
    <w:rsid w:val="00C05721"/>
    <w:rsid w:val="00C068BA"/>
    <w:rsid w:val="00C074EC"/>
    <w:rsid w:val="00C115C1"/>
    <w:rsid w:val="00C11CB8"/>
    <w:rsid w:val="00C13C73"/>
    <w:rsid w:val="00C14897"/>
    <w:rsid w:val="00C15336"/>
    <w:rsid w:val="00C1592A"/>
    <w:rsid w:val="00C161B5"/>
    <w:rsid w:val="00C1695A"/>
    <w:rsid w:val="00C2225C"/>
    <w:rsid w:val="00C226A5"/>
    <w:rsid w:val="00C22957"/>
    <w:rsid w:val="00C23F89"/>
    <w:rsid w:val="00C2582C"/>
    <w:rsid w:val="00C26733"/>
    <w:rsid w:val="00C324AA"/>
    <w:rsid w:val="00C3260F"/>
    <w:rsid w:val="00C32C4D"/>
    <w:rsid w:val="00C35A18"/>
    <w:rsid w:val="00C36F27"/>
    <w:rsid w:val="00C37438"/>
    <w:rsid w:val="00C411E7"/>
    <w:rsid w:val="00C445B1"/>
    <w:rsid w:val="00C47D02"/>
    <w:rsid w:val="00C50D35"/>
    <w:rsid w:val="00C514E9"/>
    <w:rsid w:val="00C53944"/>
    <w:rsid w:val="00C578AE"/>
    <w:rsid w:val="00C6125B"/>
    <w:rsid w:val="00C669C3"/>
    <w:rsid w:val="00C66AE8"/>
    <w:rsid w:val="00C75051"/>
    <w:rsid w:val="00C75774"/>
    <w:rsid w:val="00C75CD0"/>
    <w:rsid w:val="00C77390"/>
    <w:rsid w:val="00C806CB"/>
    <w:rsid w:val="00C81CD5"/>
    <w:rsid w:val="00C87DAC"/>
    <w:rsid w:val="00C90CDF"/>
    <w:rsid w:val="00C9101F"/>
    <w:rsid w:val="00C929E0"/>
    <w:rsid w:val="00C9380C"/>
    <w:rsid w:val="00C94E3C"/>
    <w:rsid w:val="00C954AF"/>
    <w:rsid w:val="00C97183"/>
    <w:rsid w:val="00C97AB3"/>
    <w:rsid w:val="00CA3D8A"/>
    <w:rsid w:val="00CA3DD1"/>
    <w:rsid w:val="00CA4F83"/>
    <w:rsid w:val="00CA540D"/>
    <w:rsid w:val="00CA5A99"/>
    <w:rsid w:val="00CA7B4A"/>
    <w:rsid w:val="00CB0685"/>
    <w:rsid w:val="00CB0691"/>
    <w:rsid w:val="00CB07F3"/>
    <w:rsid w:val="00CB0E86"/>
    <w:rsid w:val="00CB1DBB"/>
    <w:rsid w:val="00CB1E43"/>
    <w:rsid w:val="00CB68B5"/>
    <w:rsid w:val="00CB78BE"/>
    <w:rsid w:val="00CC18B8"/>
    <w:rsid w:val="00CC27C8"/>
    <w:rsid w:val="00CD1EED"/>
    <w:rsid w:val="00CE29EF"/>
    <w:rsid w:val="00CE2DFD"/>
    <w:rsid w:val="00CE380C"/>
    <w:rsid w:val="00CE4A4D"/>
    <w:rsid w:val="00CE56D3"/>
    <w:rsid w:val="00CE681E"/>
    <w:rsid w:val="00CF0E86"/>
    <w:rsid w:val="00CF2B97"/>
    <w:rsid w:val="00CF3D3E"/>
    <w:rsid w:val="00CF6E3C"/>
    <w:rsid w:val="00CF7587"/>
    <w:rsid w:val="00D000C0"/>
    <w:rsid w:val="00D00980"/>
    <w:rsid w:val="00D00E84"/>
    <w:rsid w:val="00D032D0"/>
    <w:rsid w:val="00D05649"/>
    <w:rsid w:val="00D07164"/>
    <w:rsid w:val="00D13FC1"/>
    <w:rsid w:val="00D14087"/>
    <w:rsid w:val="00D15576"/>
    <w:rsid w:val="00D157FF"/>
    <w:rsid w:val="00D15861"/>
    <w:rsid w:val="00D15C3D"/>
    <w:rsid w:val="00D23DD1"/>
    <w:rsid w:val="00D26AA8"/>
    <w:rsid w:val="00D32259"/>
    <w:rsid w:val="00D36856"/>
    <w:rsid w:val="00D3767C"/>
    <w:rsid w:val="00D40778"/>
    <w:rsid w:val="00D4294C"/>
    <w:rsid w:val="00D477E5"/>
    <w:rsid w:val="00D50D7B"/>
    <w:rsid w:val="00D5198C"/>
    <w:rsid w:val="00D536CA"/>
    <w:rsid w:val="00D547E3"/>
    <w:rsid w:val="00D6185B"/>
    <w:rsid w:val="00D63BCC"/>
    <w:rsid w:val="00D65240"/>
    <w:rsid w:val="00D67D30"/>
    <w:rsid w:val="00D71095"/>
    <w:rsid w:val="00D719AA"/>
    <w:rsid w:val="00D733EC"/>
    <w:rsid w:val="00D745DC"/>
    <w:rsid w:val="00D746E4"/>
    <w:rsid w:val="00D76B79"/>
    <w:rsid w:val="00D7746B"/>
    <w:rsid w:val="00D80145"/>
    <w:rsid w:val="00D8027E"/>
    <w:rsid w:val="00D80592"/>
    <w:rsid w:val="00D8364A"/>
    <w:rsid w:val="00D83DB7"/>
    <w:rsid w:val="00D843D6"/>
    <w:rsid w:val="00D84E6F"/>
    <w:rsid w:val="00D8525D"/>
    <w:rsid w:val="00D857BE"/>
    <w:rsid w:val="00D85C15"/>
    <w:rsid w:val="00D8788E"/>
    <w:rsid w:val="00D91CE2"/>
    <w:rsid w:val="00D93162"/>
    <w:rsid w:val="00D979A4"/>
    <w:rsid w:val="00DB3D62"/>
    <w:rsid w:val="00DB415E"/>
    <w:rsid w:val="00DC040A"/>
    <w:rsid w:val="00DC06CF"/>
    <w:rsid w:val="00DC08B1"/>
    <w:rsid w:val="00DC4623"/>
    <w:rsid w:val="00DC5C6E"/>
    <w:rsid w:val="00DD291E"/>
    <w:rsid w:val="00DD2D6A"/>
    <w:rsid w:val="00DD3559"/>
    <w:rsid w:val="00DD3FE7"/>
    <w:rsid w:val="00DD4A0D"/>
    <w:rsid w:val="00DD4A89"/>
    <w:rsid w:val="00DD534B"/>
    <w:rsid w:val="00DD575E"/>
    <w:rsid w:val="00DD7122"/>
    <w:rsid w:val="00DE68DE"/>
    <w:rsid w:val="00DE6D9E"/>
    <w:rsid w:val="00DF5293"/>
    <w:rsid w:val="00DF5BC7"/>
    <w:rsid w:val="00E02AE5"/>
    <w:rsid w:val="00E047CF"/>
    <w:rsid w:val="00E05878"/>
    <w:rsid w:val="00E10DB3"/>
    <w:rsid w:val="00E10DB4"/>
    <w:rsid w:val="00E12F43"/>
    <w:rsid w:val="00E14114"/>
    <w:rsid w:val="00E210A4"/>
    <w:rsid w:val="00E212E6"/>
    <w:rsid w:val="00E21FF9"/>
    <w:rsid w:val="00E24212"/>
    <w:rsid w:val="00E24BD8"/>
    <w:rsid w:val="00E25B0D"/>
    <w:rsid w:val="00E317EE"/>
    <w:rsid w:val="00E325A8"/>
    <w:rsid w:val="00E32DD0"/>
    <w:rsid w:val="00E34362"/>
    <w:rsid w:val="00E36AAF"/>
    <w:rsid w:val="00E3797C"/>
    <w:rsid w:val="00E416E9"/>
    <w:rsid w:val="00E41B27"/>
    <w:rsid w:val="00E41CC2"/>
    <w:rsid w:val="00E4375A"/>
    <w:rsid w:val="00E46B3E"/>
    <w:rsid w:val="00E50D9B"/>
    <w:rsid w:val="00E5131B"/>
    <w:rsid w:val="00E5142A"/>
    <w:rsid w:val="00E51885"/>
    <w:rsid w:val="00E5226E"/>
    <w:rsid w:val="00E549C6"/>
    <w:rsid w:val="00E55F4B"/>
    <w:rsid w:val="00E576FF"/>
    <w:rsid w:val="00E63208"/>
    <w:rsid w:val="00E63ABC"/>
    <w:rsid w:val="00E63FC8"/>
    <w:rsid w:val="00E65720"/>
    <w:rsid w:val="00E663B2"/>
    <w:rsid w:val="00E67AB9"/>
    <w:rsid w:val="00E70195"/>
    <w:rsid w:val="00E71FE3"/>
    <w:rsid w:val="00E75A05"/>
    <w:rsid w:val="00E75E90"/>
    <w:rsid w:val="00E7645B"/>
    <w:rsid w:val="00E8082E"/>
    <w:rsid w:val="00E80922"/>
    <w:rsid w:val="00E81D44"/>
    <w:rsid w:val="00E822FD"/>
    <w:rsid w:val="00E843BE"/>
    <w:rsid w:val="00E86F67"/>
    <w:rsid w:val="00E903B5"/>
    <w:rsid w:val="00E968F3"/>
    <w:rsid w:val="00EA05E0"/>
    <w:rsid w:val="00EA1291"/>
    <w:rsid w:val="00EA6679"/>
    <w:rsid w:val="00EA7E38"/>
    <w:rsid w:val="00EB18AB"/>
    <w:rsid w:val="00EB1B92"/>
    <w:rsid w:val="00EB408C"/>
    <w:rsid w:val="00EB410B"/>
    <w:rsid w:val="00EC22B7"/>
    <w:rsid w:val="00EC2BB9"/>
    <w:rsid w:val="00EC6934"/>
    <w:rsid w:val="00ED00A3"/>
    <w:rsid w:val="00ED0CBE"/>
    <w:rsid w:val="00ED3CB3"/>
    <w:rsid w:val="00ED4F26"/>
    <w:rsid w:val="00ED50B8"/>
    <w:rsid w:val="00ED60AD"/>
    <w:rsid w:val="00ED63FA"/>
    <w:rsid w:val="00ED6744"/>
    <w:rsid w:val="00ED71B1"/>
    <w:rsid w:val="00ED7664"/>
    <w:rsid w:val="00ED774D"/>
    <w:rsid w:val="00EE0A6E"/>
    <w:rsid w:val="00EE2838"/>
    <w:rsid w:val="00EE374C"/>
    <w:rsid w:val="00EE72CF"/>
    <w:rsid w:val="00EF341D"/>
    <w:rsid w:val="00EF3C39"/>
    <w:rsid w:val="00F02FDE"/>
    <w:rsid w:val="00F1196A"/>
    <w:rsid w:val="00F15E36"/>
    <w:rsid w:val="00F16631"/>
    <w:rsid w:val="00F211E6"/>
    <w:rsid w:val="00F21B59"/>
    <w:rsid w:val="00F24866"/>
    <w:rsid w:val="00F25154"/>
    <w:rsid w:val="00F25315"/>
    <w:rsid w:val="00F26783"/>
    <w:rsid w:val="00F26A06"/>
    <w:rsid w:val="00F30138"/>
    <w:rsid w:val="00F316BE"/>
    <w:rsid w:val="00F316FD"/>
    <w:rsid w:val="00F31E6D"/>
    <w:rsid w:val="00F326E5"/>
    <w:rsid w:val="00F346CD"/>
    <w:rsid w:val="00F346D6"/>
    <w:rsid w:val="00F37A9D"/>
    <w:rsid w:val="00F45CC8"/>
    <w:rsid w:val="00F50622"/>
    <w:rsid w:val="00F54DA9"/>
    <w:rsid w:val="00F61B47"/>
    <w:rsid w:val="00F61C81"/>
    <w:rsid w:val="00F6290D"/>
    <w:rsid w:val="00F66A49"/>
    <w:rsid w:val="00F712F6"/>
    <w:rsid w:val="00F745A3"/>
    <w:rsid w:val="00F77B01"/>
    <w:rsid w:val="00F801E5"/>
    <w:rsid w:val="00F82CBE"/>
    <w:rsid w:val="00F913B0"/>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27C4"/>
    <w:rsid w:val="00FA392F"/>
    <w:rsid w:val="00FA513B"/>
    <w:rsid w:val="00FA53AD"/>
    <w:rsid w:val="00FB04DA"/>
    <w:rsid w:val="00FB14FD"/>
    <w:rsid w:val="00FB275B"/>
    <w:rsid w:val="00FB47F0"/>
    <w:rsid w:val="00FB4B45"/>
    <w:rsid w:val="00FB4C08"/>
    <w:rsid w:val="00FB7F10"/>
    <w:rsid w:val="00FC3137"/>
    <w:rsid w:val="00FC40FE"/>
    <w:rsid w:val="00FC6032"/>
    <w:rsid w:val="00FC6179"/>
    <w:rsid w:val="00FC6373"/>
    <w:rsid w:val="00FC64D0"/>
    <w:rsid w:val="00FC67F8"/>
    <w:rsid w:val="00FC6FAB"/>
    <w:rsid w:val="00FC7E35"/>
    <w:rsid w:val="00FD00F1"/>
    <w:rsid w:val="00FD4D77"/>
    <w:rsid w:val="00FD5AFB"/>
    <w:rsid w:val="00FD5D5E"/>
    <w:rsid w:val="00FD6E7A"/>
    <w:rsid w:val="00FD7CF6"/>
    <w:rsid w:val="00FE0537"/>
    <w:rsid w:val="00FE40ED"/>
    <w:rsid w:val="00FE483E"/>
    <w:rsid w:val="00FE7002"/>
    <w:rsid w:val="00FF3CD7"/>
    <w:rsid w:val="00FF400E"/>
    <w:rsid w:val="00FF4C94"/>
    <w:rsid w:val="00FF4E0D"/>
    <w:rsid w:val="00FF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D4A8F"/>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21"/>
    <w:rPr>
      <w:lang w:eastAsia="en-GB"/>
    </w:rPr>
  </w:style>
  <w:style w:type="paragraph" w:styleId="Heading1">
    <w:name w:val="heading 1"/>
    <w:basedOn w:val="Normal"/>
    <w:next w:val="Normal"/>
    <w:link w:val="Heading1Char"/>
    <w:uiPriority w:val="9"/>
    <w:qFormat/>
    <w:rsid w:val="00AD1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46B3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3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le 2,List Paragraph1"/>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nhideWhenUsed/>
    <w:rsid w:val="00097111"/>
    <w:rPr>
      <w:sz w:val="20"/>
    </w:rPr>
  </w:style>
  <w:style w:type="character" w:customStyle="1" w:styleId="CommentTextChar">
    <w:name w:val="Comment Text Char"/>
    <w:basedOn w:val="DefaultParagraphFont"/>
    <w:link w:val="CommentText"/>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A5"/>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aliases w:val="Title 2 Char,List Paragraph1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customStyle="1" w:styleId="Heading1Char">
    <w:name w:val="Heading 1 Char"/>
    <w:basedOn w:val="DefaultParagraphFont"/>
    <w:link w:val="Heading1"/>
    <w:uiPriority w:val="9"/>
    <w:rsid w:val="00AD1A81"/>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rsid w:val="00E46B3E"/>
    <w:rPr>
      <w:rFonts w:asciiTheme="majorHAnsi" w:eastAsiaTheme="majorEastAsia" w:hAnsiTheme="majorHAnsi" w:cstheme="majorBidi"/>
      <w:color w:val="243F60" w:themeColor="accent1" w:themeShade="7F"/>
      <w:szCs w:val="24"/>
      <w:lang w:eastAsia="en-GB"/>
    </w:rPr>
  </w:style>
  <w:style w:type="character" w:customStyle="1" w:styleId="apple-converted-space">
    <w:name w:val="apple-converted-space"/>
    <w:basedOn w:val="DefaultParagraphFont"/>
    <w:rsid w:val="002F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7">
      <w:bodyDiv w:val="1"/>
      <w:marLeft w:val="0"/>
      <w:marRight w:val="0"/>
      <w:marTop w:val="0"/>
      <w:marBottom w:val="0"/>
      <w:divBdr>
        <w:top w:val="none" w:sz="0" w:space="0" w:color="auto"/>
        <w:left w:val="none" w:sz="0" w:space="0" w:color="auto"/>
        <w:bottom w:val="none" w:sz="0" w:space="0" w:color="auto"/>
        <w:right w:val="none" w:sz="0" w:space="0" w:color="auto"/>
      </w:divBdr>
    </w:div>
    <w:div w:id="24379551">
      <w:bodyDiv w:val="1"/>
      <w:marLeft w:val="0"/>
      <w:marRight w:val="0"/>
      <w:marTop w:val="0"/>
      <w:marBottom w:val="0"/>
      <w:divBdr>
        <w:top w:val="none" w:sz="0" w:space="0" w:color="auto"/>
        <w:left w:val="none" w:sz="0" w:space="0" w:color="auto"/>
        <w:bottom w:val="none" w:sz="0" w:space="0" w:color="auto"/>
        <w:right w:val="none" w:sz="0" w:space="0" w:color="auto"/>
      </w:divBdr>
    </w:div>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ac.uk/en/media/departmental/governance/studentsunion/2018-08-01---Relationship-Agreement-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ac.uk/en/media/departmental/finance/pdf/1-42-AU-Revised-Tuition-Fee-Polic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ber.ac.uk/en/undergrad/terms-conditions/" TargetMode="External"/><Relationship Id="rId4" Type="http://schemas.openxmlformats.org/officeDocument/2006/relationships/settings" Target="settings.xml"/><Relationship Id="rId9" Type="http://schemas.openxmlformats.org/officeDocument/2006/relationships/hyperlink" Target="https://www.aber.ac.uk/en/undergrad/before-you-apply/fees-finance/tuition-fe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F17F-8FAE-E142-B9FC-E99E609F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3116</Words>
  <Characters>17766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rachel.ogorman</dc:creator>
  <cp:lastModifiedBy>Suzy Shipman</cp:lastModifiedBy>
  <cp:revision>2</cp:revision>
  <cp:lastPrinted>2018-01-31T10:29:00Z</cp:lastPrinted>
  <dcterms:created xsi:type="dcterms:W3CDTF">2021-08-26T09:41:00Z</dcterms:created>
  <dcterms:modified xsi:type="dcterms:W3CDTF">2021-08-26T09:41:00Z</dcterms:modified>
</cp:coreProperties>
</file>