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000" w:firstRow="0" w:lastRow="0" w:firstColumn="0" w:lastColumn="0" w:noHBand="0" w:noVBand="0"/>
      </w:tblPr>
      <w:tblGrid>
        <w:gridCol w:w="5250"/>
        <w:gridCol w:w="5103"/>
      </w:tblGrid>
      <w:tr w:rsidR="00C42CF7" w:rsidRPr="00C256DB" w14:paraId="6D314E92" w14:textId="77777777">
        <w:tc>
          <w:tcPr>
            <w:tcW w:w="5250" w:type="dxa"/>
            <w:shd w:val="clear" w:color="auto" w:fill="auto"/>
          </w:tcPr>
          <w:p w14:paraId="0FD37E67" w14:textId="77777777" w:rsidR="00C42CF7" w:rsidRPr="00C256DB" w:rsidRDefault="00536B0C" w:rsidP="00C256DB">
            <w:pPr>
              <w:pStyle w:val="Header"/>
              <w:rPr>
                <w:lang w:val="cy-GB"/>
              </w:rPr>
            </w:pPr>
            <w:r w:rsidRPr="00C256DB">
              <w:rPr>
                <w:noProof/>
                <w:lang w:val="cy-GB"/>
              </w:rPr>
              <w:drawing>
                <wp:inline distT="0" distB="0" distL="0" distR="3175" wp14:anchorId="2728931A" wp14:editId="5AA00D68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3FA4F75B" w14:textId="77777777" w:rsidR="00C42CF7" w:rsidRPr="00C256DB" w:rsidRDefault="00536B0C" w:rsidP="00C256DB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C256DB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36B231E7" w14:textId="251A3E9B" w:rsidR="00C42CF7" w:rsidRPr="00C256DB" w:rsidRDefault="00536B0C" w:rsidP="00C256DB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C256DB">
              <w:rPr>
                <w:b/>
                <w:bCs/>
                <w:sz w:val="32"/>
                <w:szCs w:val="32"/>
                <w:lang w:val="cy-GB"/>
              </w:rPr>
              <w:t>Ma</w:t>
            </w:r>
            <w:r w:rsidR="00FE5BC2">
              <w:rPr>
                <w:b/>
                <w:bCs/>
                <w:sz w:val="32"/>
                <w:szCs w:val="32"/>
                <w:lang w:val="cy-GB"/>
              </w:rPr>
              <w:t>i</w:t>
            </w:r>
            <w:r w:rsidRPr="00C256DB">
              <w:rPr>
                <w:b/>
                <w:bCs/>
                <w:sz w:val="32"/>
                <w:szCs w:val="32"/>
                <w:lang w:val="cy-GB"/>
              </w:rPr>
              <w:t xml:space="preserve"> 2021</w:t>
            </w:r>
          </w:p>
        </w:tc>
      </w:tr>
      <w:tr w:rsidR="00C42CF7" w:rsidRPr="00C256DB" w14:paraId="041B0A1B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17A02736" w14:textId="77777777" w:rsidR="00C42CF7" w:rsidRPr="00C256DB" w:rsidRDefault="00C42CF7" w:rsidP="00C256DB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760CF2F1" w14:textId="77777777" w:rsidR="00C42CF7" w:rsidRPr="00C256DB" w:rsidRDefault="00536B0C" w:rsidP="00C256DB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C256DB">
              <w:rPr>
                <w:b/>
                <w:bCs/>
                <w:sz w:val="40"/>
                <w:szCs w:val="40"/>
                <w:lang w:val="cy-GB"/>
              </w:rPr>
              <w:t>BIOLEG 1: MOLECIWLAU I ORGANAU</w:t>
            </w:r>
          </w:p>
          <w:p w14:paraId="69D10DD2" w14:textId="77777777" w:rsidR="00C42CF7" w:rsidRPr="00C256DB" w:rsidRDefault="00C42CF7" w:rsidP="00C256DB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140C1E50" w14:textId="77777777" w:rsidR="00C42CF7" w:rsidRPr="00C256DB" w:rsidRDefault="00536B0C" w:rsidP="00C256DB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C256DB">
              <w:rPr>
                <w:sz w:val="26"/>
                <w:szCs w:val="26"/>
                <w:lang w:val="cy-GB"/>
              </w:rPr>
              <w:t>Amser: 1.5 awr (90 munud)</w:t>
            </w:r>
          </w:p>
          <w:p w14:paraId="2FF3A18E" w14:textId="77777777" w:rsidR="00C42CF7" w:rsidRPr="00C256DB" w:rsidRDefault="00C42CF7" w:rsidP="00C256DB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30898ACC" w14:textId="77777777" w:rsidR="00C42CF7" w:rsidRPr="00C256DB" w:rsidRDefault="00536B0C" w:rsidP="00C256DB">
            <w:pPr>
              <w:ind w:right="-421"/>
              <w:jc w:val="center"/>
              <w:rPr>
                <w:b/>
                <w:bCs/>
                <w:sz w:val="26"/>
                <w:szCs w:val="26"/>
                <w:lang w:val="cy-GB"/>
              </w:rPr>
            </w:pPr>
            <w:r w:rsidRPr="00C256DB">
              <w:rPr>
                <w:b/>
                <w:bCs/>
                <w:sz w:val="26"/>
                <w:szCs w:val="26"/>
                <w:lang w:val="cy-GB"/>
              </w:rPr>
              <w:t>Rhowch gynnig ar DRI chwestiwn</w:t>
            </w:r>
          </w:p>
          <w:p w14:paraId="279E6F28" w14:textId="77777777" w:rsidR="00C42CF7" w:rsidRPr="00C256DB" w:rsidRDefault="00C42CF7" w:rsidP="00C256DB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p w14:paraId="1C5F669B" w14:textId="77777777" w:rsidR="00C42CF7" w:rsidRPr="00C256DB" w:rsidRDefault="00C42CF7" w:rsidP="00C256DB">
      <w:pPr>
        <w:ind w:right="-421" w:hanging="567"/>
        <w:rPr>
          <w:sz w:val="24"/>
          <w:szCs w:val="24"/>
          <w:lang w:val="cy-GB"/>
        </w:rPr>
      </w:pPr>
    </w:p>
    <w:p w14:paraId="12F01603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sz w:val="24"/>
          <w:szCs w:val="24"/>
          <w:lang w:val="cy-GB"/>
        </w:rPr>
      </w:pPr>
      <w:r w:rsidRPr="00C256DB">
        <w:rPr>
          <w:sz w:val="24"/>
          <w:szCs w:val="24"/>
          <w:lang w:val="cy-GB"/>
        </w:rPr>
        <w:t>Ym 1816, a natur bywyd yn dal i fod yn ddirgelwch, dywedodd William Lawrence, Athro yng Ngholeg Brenhinol y Llawfeddygon, fod popeth byw "wedi cymryd rhan ym modolaeth bodau byw eraill .</w:t>
      </w:r>
      <w:r w:rsidR="00AD45E8">
        <w:rPr>
          <w:sz w:val="24"/>
          <w:szCs w:val="24"/>
          <w:lang w:val="cy-GB"/>
        </w:rPr>
        <w:t>..</w:t>
      </w:r>
      <w:r w:rsidRPr="00C256DB">
        <w:rPr>
          <w:sz w:val="24"/>
          <w:szCs w:val="24"/>
          <w:lang w:val="cy-GB"/>
        </w:rPr>
        <w:t xml:space="preserve"> mae bywyd yn dechrau ym mywyd y rhieni". Trafodwch yr hyn a wyddom erbyn hyn ynglŷn â sut mae bywyd yn cael ei etifeddu.</w:t>
      </w:r>
    </w:p>
    <w:p w14:paraId="1F89326E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sz w:val="24"/>
          <w:szCs w:val="24"/>
          <w:lang w:val="cy-GB"/>
        </w:rPr>
      </w:pPr>
      <w:r w:rsidRPr="00C256DB">
        <w:rPr>
          <w:sz w:val="24"/>
          <w:szCs w:val="24"/>
          <w:lang w:val="cy-GB"/>
        </w:rPr>
        <w:t xml:space="preserve">Ysgrifennwch arolwg o drefniadaeth celloedd ewcaryotig a chelloedd procaryotig a'u dull o atgynhyrchu. </w:t>
      </w:r>
    </w:p>
    <w:p w14:paraId="6D60686B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lang w:val="cy-GB"/>
        </w:rPr>
      </w:pPr>
      <w:r w:rsidRPr="00C256DB">
        <w:rPr>
          <w:sz w:val="24"/>
          <w:szCs w:val="24"/>
          <w:lang w:val="cy-GB"/>
        </w:rPr>
        <w:t xml:space="preserve">Mae graddfa dal egni'r haul trwy ffotosynthesis ar y Ddaear tua chwe gwaith yn fwy na’r ynni a ddefnyddir gan </w:t>
      </w:r>
      <w:hyperlink r:id="rId8" w:tgtFrame="World energy resources and consumption">
        <w:r w:rsidRPr="00C256DB">
          <w:rPr>
            <w:rStyle w:val="ListLabel1"/>
            <w:lang w:val="cy-GB"/>
          </w:rPr>
          <w:t>bobl ar y blaned</w:t>
        </w:r>
      </w:hyperlink>
      <w:r w:rsidRPr="00C256DB">
        <w:rPr>
          <w:sz w:val="24"/>
          <w:szCs w:val="24"/>
          <w:lang w:val="cy-GB"/>
        </w:rPr>
        <w:t>. Disgrifiwch rai o fanylion biocemegol a chellol ffotosynthesis.</w:t>
      </w:r>
    </w:p>
    <w:p w14:paraId="2692D57F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sz w:val="24"/>
          <w:szCs w:val="24"/>
          <w:lang w:val="cy-GB"/>
        </w:rPr>
      </w:pPr>
      <w:r w:rsidRPr="00C256DB">
        <w:rPr>
          <w:sz w:val="24"/>
          <w:szCs w:val="24"/>
          <w:lang w:val="cy-GB"/>
        </w:rPr>
        <w:t>Beth yw 'ATP' a pham y mae mor ganolog mewn bioleg?</w:t>
      </w:r>
    </w:p>
    <w:p w14:paraId="6A153017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sz w:val="24"/>
          <w:szCs w:val="24"/>
          <w:lang w:val="cy-GB"/>
        </w:rPr>
      </w:pPr>
      <w:r w:rsidRPr="00C256DB">
        <w:rPr>
          <w:sz w:val="24"/>
          <w:szCs w:val="24"/>
          <w:lang w:val="cy-GB"/>
        </w:rPr>
        <w:t>Ymhle ym myd natur y gellir dod o hyd i bolysacaridau, a pha fath o adeileddau sydd iddynt?</w:t>
      </w:r>
    </w:p>
    <w:p w14:paraId="49E2E315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sz w:val="24"/>
          <w:szCs w:val="24"/>
          <w:lang w:val="cy-GB"/>
        </w:rPr>
      </w:pPr>
      <w:r w:rsidRPr="00C256DB">
        <w:rPr>
          <w:sz w:val="24"/>
          <w:szCs w:val="24"/>
          <w:lang w:val="cy-GB"/>
        </w:rPr>
        <w:t>Rhowch rai enghreifftiau o ensymau ac esboniwch eu swyddogaeth a'u nodweddion.</w:t>
      </w:r>
    </w:p>
    <w:p w14:paraId="202E78B8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sz w:val="24"/>
          <w:szCs w:val="24"/>
          <w:lang w:val="cy-GB"/>
        </w:rPr>
      </w:pPr>
      <w:r w:rsidRPr="00C256DB">
        <w:rPr>
          <w:sz w:val="24"/>
          <w:szCs w:val="24"/>
          <w:lang w:val="cy-GB"/>
        </w:rPr>
        <w:t>Ysgrifennwch draethawd ar bwysigrwydd biolegol dŵr.</w:t>
      </w:r>
    </w:p>
    <w:p w14:paraId="31D9E763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sz w:val="24"/>
          <w:szCs w:val="24"/>
          <w:lang w:val="cy-GB"/>
        </w:rPr>
      </w:pPr>
      <w:r w:rsidRPr="00C256DB">
        <w:rPr>
          <w:sz w:val="24"/>
          <w:szCs w:val="24"/>
          <w:lang w:val="cy-GB"/>
        </w:rPr>
        <w:t>Os mai cynnydd CO</w:t>
      </w:r>
      <w:r w:rsidRPr="00A054DE">
        <w:rPr>
          <w:sz w:val="24"/>
          <w:szCs w:val="24"/>
          <w:vertAlign w:val="subscript"/>
          <w:lang w:val="cy-GB"/>
        </w:rPr>
        <w:t>2</w:t>
      </w:r>
      <w:r w:rsidRPr="00C256DB">
        <w:rPr>
          <w:sz w:val="24"/>
          <w:szCs w:val="24"/>
          <w:lang w:val="cy-GB"/>
        </w:rPr>
        <w:t xml:space="preserve"> yn atmosffer y Ddaear sy'n gyfrifol am y Newid yn yr Hinsawdd, oni ddylai hyn wneud i blanhigion dyfu yn gyflymach?</w:t>
      </w:r>
    </w:p>
    <w:p w14:paraId="0F8E91D1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sz w:val="24"/>
          <w:szCs w:val="24"/>
          <w:lang w:val="cy-GB"/>
        </w:rPr>
      </w:pPr>
      <w:r w:rsidRPr="00C256DB">
        <w:rPr>
          <w:sz w:val="24"/>
          <w:szCs w:val="24"/>
          <w:lang w:val="cy-GB"/>
        </w:rPr>
        <w:t>Beth yw'r ddau fath o systemau cludiant a geir mewn planhigion a sut y maen nhw'n gweithio?</w:t>
      </w:r>
    </w:p>
    <w:p w14:paraId="6B7CB206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sz w:val="24"/>
          <w:szCs w:val="24"/>
          <w:lang w:val="cy-GB"/>
        </w:rPr>
      </w:pPr>
      <w:r w:rsidRPr="00C256DB">
        <w:rPr>
          <w:sz w:val="24"/>
          <w:szCs w:val="24"/>
          <w:lang w:val="cy-GB"/>
        </w:rPr>
        <w:t>Amlinellwch adeiledd a swyddogaeth blodau.</w:t>
      </w:r>
    </w:p>
    <w:p w14:paraId="29C68BBD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sz w:val="24"/>
          <w:szCs w:val="24"/>
          <w:lang w:val="cy-GB"/>
        </w:rPr>
      </w:pPr>
      <w:r w:rsidRPr="00C256DB">
        <w:rPr>
          <w:sz w:val="24"/>
          <w:szCs w:val="24"/>
          <w:lang w:val="cy-GB"/>
        </w:rPr>
        <w:t>Trwy ddefnyddio enghreifftiau, esboniwch beth yw ystyr ‘homeostasis’.</w:t>
      </w:r>
    </w:p>
    <w:p w14:paraId="40EB995E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sz w:val="24"/>
          <w:szCs w:val="24"/>
          <w:lang w:val="cy-GB"/>
        </w:rPr>
      </w:pPr>
      <w:r w:rsidRPr="00C256DB">
        <w:rPr>
          <w:sz w:val="24"/>
          <w:szCs w:val="24"/>
          <w:lang w:val="cy-GB"/>
        </w:rPr>
        <w:t>Ysgrifennwch draethawd am (unrhyw agwedd ar) yr ymennydd dynol.</w:t>
      </w:r>
    </w:p>
    <w:p w14:paraId="29677E78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sz w:val="24"/>
          <w:szCs w:val="24"/>
          <w:lang w:val="cy-GB"/>
        </w:rPr>
      </w:pPr>
      <w:r w:rsidRPr="00C256DB">
        <w:rPr>
          <w:sz w:val="24"/>
          <w:szCs w:val="24"/>
          <w:lang w:val="cy-GB"/>
        </w:rPr>
        <w:t>Amlinellwch ddull gweithredu system cylchrediad mamaliaid.</w:t>
      </w:r>
    </w:p>
    <w:p w14:paraId="026B9AD6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sz w:val="24"/>
          <w:szCs w:val="24"/>
          <w:lang w:val="cy-GB"/>
        </w:rPr>
      </w:pPr>
      <w:r w:rsidRPr="00C256DB">
        <w:rPr>
          <w:sz w:val="24"/>
          <w:szCs w:val="24"/>
          <w:lang w:val="cy-GB"/>
        </w:rPr>
        <w:t>Esboniwch sut mae cyhyrau'n gweithio.</w:t>
      </w:r>
    </w:p>
    <w:p w14:paraId="751FC407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sz w:val="24"/>
          <w:szCs w:val="24"/>
          <w:lang w:val="cy-GB"/>
        </w:rPr>
      </w:pPr>
      <w:r w:rsidRPr="00C256DB">
        <w:rPr>
          <w:sz w:val="24"/>
          <w:szCs w:val="24"/>
          <w:lang w:val="cy-GB"/>
        </w:rPr>
        <w:lastRenderedPageBreak/>
        <w:t>Pan fyddwch eisiau mynd i’r toiled, beth sy'n digwydd y tu mewn i'ch corff? (Dewiswch unrhyw sefyllfa bosib.)</w:t>
      </w:r>
    </w:p>
    <w:p w14:paraId="5EB03AE7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sz w:val="24"/>
          <w:szCs w:val="24"/>
          <w:lang w:val="cy-GB"/>
        </w:rPr>
      </w:pPr>
      <w:r w:rsidRPr="00C256DB">
        <w:rPr>
          <w:sz w:val="24"/>
          <w:szCs w:val="24"/>
          <w:lang w:val="cy-GB"/>
        </w:rPr>
        <w:t>Disgrifiwch y systemau ffisiolegol lle gwelir cynnydd mewn gweithgarwch yn ystod gêm bêl droed.</w:t>
      </w:r>
    </w:p>
    <w:p w14:paraId="29D09227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sz w:val="24"/>
          <w:szCs w:val="24"/>
          <w:lang w:val="cy-GB"/>
        </w:rPr>
      </w:pPr>
      <w:r w:rsidRPr="00C256DB">
        <w:rPr>
          <w:sz w:val="24"/>
          <w:szCs w:val="24"/>
          <w:lang w:val="cy-GB"/>
        </w:rPr>
        <w:t>Trafodwch elfennau biolegol unrhyw salwch meddygol yr ydych yn gyfarwydd ag ef.</w:t>
      </w:r>
    </w:p>
    <w:p w14:paraId="41839AAA" w14:textId="77777777" w:rsidR="00C42CF7" w:rsidRPr="00C256DB" w:rsidRDefault="00536B0C" w:rsidP="00C256DB">
      <w:pPr>
        <w:numPr>
          <w:ilvl w:val="0"/>
          <w:numId w:val="2"/>
        </w:numPr>
        <w:spacing w:before="120" w:after="240"/>
        <w:rPr>
          <w:sz w:val="24"/>
          <w:szCs w:val="24"/>
          <w:lang w:val="cy-GB"/>
        </w:rPr>
      </w:pPr>
      <w:r w:rsidRPr="00C256DB">
        <w:rPr>
          <w:sz w:val="24"/>
          <w:szCs w:val="24"/>
          <w:lang w:val="cy-GB"/>
        </w:rPr>
        <w:t>Gan ddefnyddio ffurf safonol adroddiad gwyddonol ('Rhagarweiniad', 'Deunyddiau a Dulliau', 'Canlyniadau', 'Trafodaeth', a 'Tablau' neu 'Ffigurau'), cyflwynwch ddamcaniaeth, cynllun a chanlyniadau unrhyw arbrawf gwyddonol, gwirioneddol neu ddychmygol.</w:t>
      </w:r>
    </w:p>
    <w:p w14:paraId="70D143F2" w14:textId="77777777" w:rsidR="00C42CF7" w:rsidRPr="00C256DB" w:rsidRDefault="00C42CF7" w:rsidP="00C256DB">
      <w:pPr>
        <w:ind w:right="-421" w:hanging="567"/>
        <w:rPr>
          <w:lang w:val="cy-GB"/>
        </w:rPr>
      </w:pPr>
    </w:p>
    <w:sectPr w:rsidR="00C42CF7" w:rsidRPr="00C256DB">
      <w:headerReference w:type="default" r:id="rId9"/>
      <w:footerReference w:type="default" r:id="rId10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C3DBA" w14:textId="77777777" w:rsidR="00536B0C" w:rsidRDefault="00536B0C">
      <w:r>
        <w:separator/>
      </w:r>
    </w:p>
  </w:endnote>
  <w:endnote w:type="continuationSeparator" w:id="0">
    <w:p w14:paraId="2055FFD1" w14:textId="77777777" w:rsidR="00536B0C" w:rsidRDefault="0053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A1200" w14:textId="77777777" w:rsidR="00C42CF7" w:rsidRPr="0086208D" w:rsidRDefault="0086208D">
    <w:pPr>
      <w:tabs>
        <w:tab w:val="center" w:pos="4550"/>
        <w:tab w:val="left" w:pos="5818"/>
      </w:tabs>
      <w:ind w:right="260"/>
      <w:jc w:val="right"/>
      <w:rPr>
        <w:lang w:val="cy-GB"/>
      </w:rPr>
    </w:pPr>
    <w:r>
      <w:rPr>
        <w:color w:val="8496B0"/>
        <w:spacing w:val="60"/>
        <w:lang w:val="cy-GB"/>
      </w:rPr>
      <w:t>Tudalen</w:t>
    </w:r>
    <w:r w:rsidR="00536B0C" w:rsidRPr="0086208D">
      <w:rPr>
        <w:color w:val="8496B0"/>
        <w:lang w:val="cy-GB"/>
      </w:rPr>
      <w:t xml:space="preserve"> </w:t>
    </w:r>
    <w:r w:rsidR="00536B0C" w:rsidRPr="0086208D">
      <w:rPr>
        <w:color w:val="323E4F"/>
        <w:lang w:val="cy-GB"/>
      </w:rPr>
      <w:fldChar w:fldCharType="begin"/>
    </w:r>
    <w:r w:rsidR="00536B0C" w:rsidRPr="0086208D">
      <w:rPr>
        <w:lang w:val="cy-GB"/>
      </w:rPr>
      <w:instrText>PAGE</w:instrText>
    </w:r>
    <w:r w:rsidR="00536B0C" w:rsidRPr="0086208D">
      <w:rPr>
        <w:lang w:val="cy-GB"/>
      </w:rPr>
      <w:fldChar w:fldCharType="separate"/>
    </w:r>
    <w:r w:rsidR="00536B0C" w:rsidRPr="0086208D">
      <w:rPr>
        <w:lang w:val="cy-GB"/>
      </w:rPr>
      <w:t>2</w:t>
    </w:r>
    <w:r w:rsidR="00536B0C" w:rsidRPr="0086208D">
      <w:rPr>
        <w:lang w:val="cy-GB"/>
      </w:rPr>
      <w:fldChar w:fldCharType="end"/>
    </w:r>
    <w:r w:rsidR="00536B0C" w:rsidRPr="0086208D">
      <w:rPr>
        <w:color w:val="323E4F"/>
        <w:lang w:val="cy-GB"/>
      </w:rPr>
      <w:t xml:space="preserve"> | </w:t>
    </w:r>
    <w:r w:rsidR="00536B0C" w:rsidRPr="0086208D">
      <w:rPr>
        <w:color w:val="323E4F"/>
        <w:lang w:val="cy-GB"/>
      </w:rPr>
      <w:fldChar w:fldCharType="begin"/>
    </w:r>
    <w:r w:rsidR="00536B0C" w:rsidRPr="0086208D">
      <w:rPr>
        <w:lang w:val="cy-GB"/>
      </w:rPr>
      <w:instrText>NUMPAGES \* ARABIC</w:instrText>
    </w:r>
    <w:r w:rsidR="00536B0C" w:rsidRPr="0086208D">
      <w:rPr>
        <w:lang w:val="cy-GB"/>
      </w:rPr>
      <w:fldChar w:fldCharType="separate"/>
    </w:r>
    <w:r w:rsidR="00536B0C" w:rsidRPr="0086208D">
      <w:rPr>
        <w:lang w:val="cy-GB"/>
      </w:rPr>
      <w:t>2</w:t>
    </w:r>
    <w:r w:rsidR="00536B0C" w:rsidRPr="0086208D">
      <w:rPr>
        <w:lang w:val="cy-GB"/>
      </w:rPr>
      <w:fldChar w:fldCharType="end"/>
    </w:r>
  </w:p>
  <w:p w14:paraId="43B16018" w14:textId="77777777" w:rsidR="00C42CF7" w:rsidRDefault="00C42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F3B21" w14:textId="77777777" w:rsidR="00536B0C" w:rsidRDefault="00536B0C">
      <w:r>
        <w:separator/>
      </w:r>
    </w:p>
  </w:footnote>
  <w:footnote w:type="continuationSeparator" w:id="0">
    <w:p w14:paraId="6C69FFB5" w14:textId="77777777" w:rsidR="00536B0C" w:rsidRDefault="0053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000" w:firstRow="0" w:lastRow="0" w:firstColumn="0" w:lastColumn="0" w:noHBand="0" w:noVBand="0"/>
    </w:tblPr>
    <w:tblGrid>
      <w:gridCol w:w="5246"/>
      <w:gridCol w:w="5102"/>
    </w:tblGrid>
    <w:tr w:rsidR="00C42CF7" w14:paraId="399181B9" w14:textId="77777777">
      <w:tc>
        <w:tcPr>
          <w:tcW w:w="5246" w:type="dxa"/>
          <w:shd w:val="clear" w:color="auto" w:fill="auto"/>
        </w:tcPr>
        <w:p w14:paraId="278307DB" w14:textId="77777777" w:rsidR="00C42CF7" w:rsidRDefault="00C42CF7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68D11EA5" w14:textId="77777777" w:rsidR="00C42CF7" w:rsidRDefault="00C42CF7">
          <w:pPr>
            <w:pStyle w:val="Header"/>
            <w:jc w:val="center"/>
          </w:pPr>
        </w:p>
      </w:tc>
    </w:tr>
  </w:tbl>
  <w:p w14:paraId="1E2A719F" w14:textId="77777777" w:rsidR="00C42CF7" w:rsidRDefault="00C42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62569"/>
    <w:multiLevelType w:val="multilevel"/>
    <w:tmpl w:val="E4E009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313C93"/>
    <w:multiLevelType w:val="multilevel"/>
    <w:tmpl w:val="20F49A7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F7"/>
    <w:rsid w:val="0006695F"/>
    <w:rsid w:val="00173853"/>
    <w:rsid w:val="003C1937"/>
    <w:rsid w:val="00536B0C"/>
    <w:rsid w:val="0086208D"/>
    <w:rsid w:val="00A054DE"/>
    <w:rsid w:val="00AD45E8"/>
    <w:rsid w:val="00C256DB"/>
    <w:rsid w:val="00C42CF7"/>
    <w:rsid w:val="00FE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41C7"/>
  <w15:docId w15:val="{906A87C7-10B4-480C-A92D-B065C21D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character" w:customStyle="1" w:styleId="ListLabel1">
    <w:name w:val="ListLabel 1"/>
    <w:qFormat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World_energy_resources_and_consump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</cp:lastModifiedBy>
  <cp:revision>3</cp:revision>
  <dcterms:created xsi:type="dcterms:W3CDTF">2021-01-07T17:52:00Z</dcterms:created>
  <dcterms:modified xsi:type="dcterms:W3CDTF">2021-01-15T12:00:00Z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