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AF31AA" w:rsidRPr="004E62E4" w14:paraId="1E5BB1E3" w14:textId="77777777">
        <w:tc>
          <w:tcPr>
            <w:tcW w:w="5250" w:type="dxa"/>
            <w:shd w:val="clear" w:color="auto" w:fill="auto"/>
          </w:tcPr>
          <w:p w14:paraId="7094B298" w14:textId="77777777" w:rsidR="00AF31AA" w:rsidRPr="004E62E4" w:rsidRDefault="006A2C69">
            <w:pPr>
              <w:pStyle w:val="Header"/>
              <w:rPr>
                <w:lang w:val="cy-GB"/>
              </w:rPr>
            </w:pPr>
            <w:r w:rsidRPr="004E62E4">
              <w:rPr>
                <w:noProof/>
                <w:lang w:val="cy-GB"/>
              </w:rPr>
              <w:drawing>
                <wp:inline distT="0" distB="0" distL="0" distR="3175" wp14:anchorId="03B17A3F" wp14:editId="4AAB8666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139471E0" w14:textId="77777777" w:rsidR="00AF31AA" w:rsidRPr="004E62E4" w:rsidRDefault="006A2C69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4E62E4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40E14D35" w14:textId="721AD29D" w:rsidR="00AF31AA" w:rsidRPr="004E62E4" w:rsidRDefault="006A2C69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4E62E4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A31935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4E62E4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AF31AA" w:rsidRPr="004E62E4" w14:paraId="42C8D284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3EC41DD1" w14:textId="77777777" w:rsidR="00AF31AA" w:rsidRPr="004E62E4" w:rsidRDefault="00AF31AA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04B8B84A" w14:textId="77777777" w:rsidR="00AF31AA" w:rsidRPr="004E62E4" w:rsidRDefault="006A2C69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4E62E4">
              <w:rPr>
                <w:b/>
                <w:bCs/>
                <w:sz w:val="40"/>
                <w:szCs w:val="40"/>
                <w:lang w:val="cy-GB"/>
              </w:rPr>
              <w:t>Y GYFRAITH</w:t>
            </w:r>
          </w:p>
          <w:p w14:paraId="3D82AECC" w14:textId="77777777" w:rsidR="00AF31AA" w:rsidRPr="004E62E4" w:rsidRDefault="00AF31A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59789FA0" w14:textId="77777777" w:rsidR="00AF31AA" w:rsidRPr="004E62E4" w:rsidRDefault="006A2C69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4E62E4">
              <w:rPr>
                <w:sz w:val="26"/>
                <w:szCs w:val="26"/>
                <w:lang w:val="cy-GB"/>
              </w:rPr>
              <w:t>Amser: 1.5 awr (90 munud)</w:t>
            </w:r>
          </w:p>
          <w:p w14:paraId="03909CF6" w14:textId="77777777" w:rsidR="00AF31AA" w:rsidRPr="004E62E4" w:rsidRDefault="00AF31A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5DE2490E" w14:textId="77777777" w:rsidR="00AF31AA" w:rsidRPr="004E62E4" w:rsidRDefault="006A2C69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4E62E4">
              <w:rPr>
                <w:b/>
                <w:bCs/>
                <w:sz w:val="26"/>
                <w:szCs w:val="26"/>
                <w:lang w:val="cy-GB"/>
              </w:rPr>
              <w:t>Atebwch DRI chwestiwn</w:t>
            </w:r>
          </w:p>
          <w:p w14:paraId="4D19870F" w14:textId="77777777" w:rsidR="00AF31AA" w:rsidRPr="004E62E4" w:rsidRDefault="00AF31A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675F36A5" w14:textId="77777777" w:rsidR="00AF31AA" w:rsidRPr="004E62E4" w:rsidRDefault="006A2C69">
            <w:pPr>
              <w:pStyle w:val="ListParagraph"/>
              <w:numPr>
                <w:ilvl w:val="0"/>
                <w:numId w:val="2"/>
              </w:num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4E62E4">
              <w:rPr>
                <w:sz w:val="26"/>
                <w:szCs w:val="26"/>
                <w:lang w:val="cy-GB"/>
              </w:rPr>
              <w:t>Un o Adran A (40 marc)</w:t>
            </w:r>
          </w:p>
          <w:p w14:paraId="4AC03CDF" w14:textId="77777777" w:rsidR="00AF31AA" w:rsidRPr="004E62E4" w:rsidRDefault="006A2C69">
            <w:pPr>
              <w:pStyle w:val="ListParagraph"/>
              <w:numPr>
                <w:ilvl w:val="0"/>
                <w:numId w:val="2"/>
              </w:num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4E62E4">
              <w:rPr>
                <w:sz w:val="26"/>
                <w:szCs w:val="26"/>
                <w:lang w:val="cy-GB"/>
              </w:rPr>
              <w:t>Y cwestiwn gorfodol yn Adran B (30 marc)</w:t>
            </w:r>
          </w:p>
          <w:p w14:paraId="4BEC0430" w14:textId="77777777" w:rsidR="00AF31AA" w:rsidRPr="004E62E4" w:rsidRDefault="006A2C69">
            <w:pPr>
              <w:pStyle w:val="ListParagraph"/>
              <w:numPr>
                <w:ilvl w:val="0"/>
                <w:numId w:val="2"/>
              </w:num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4E62E4">
              <w:rPr>
                <w:sz w:val="26"/>
                <w:szCs w:val="26"/>
                <w:lang w:val="cy-GB"/>
              </w:rPr>
              <w:t>Y cwestiwn gorfodol yn Adran C (30 marc)</w:t>
            </w:r>
          </w:p>
          <w:p w14:paraId="386982B9" w14:textId="77777777" w:rsidR="00AF31AA" w:rsidRPr="004E62E4" w:rsidRDefault="00AF31AA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2D40ED98" w14:textId="77777777" w:rsidR="00AF31AA" w:rsidRPr="004E62E4" w:rsidRDefault="00AF31AA">
      <w:pPr>
        <w:ind w:right="-421" w:hanging="567"/>
        <w:rPr>
          <w:sz w:val="24"/>
          <w:szCs w:val="24"/>
          <w:lang w:val="cy-GB"/>
        </w:rPr>
      </w:pPr>
    </w:p>
    <w:p w14:paraId="2EE79951" w14:textId="77777777" w:rsidR="00AF31AA" w:rsidRPr="004E62E4" w:rsidRDefault="006A2C69">
      <w:pPr>
        <w:jc w:val="center"/>
        <w:rPr>
          <w:b/>
          <w:sz w:val="24"/>
          <w:szCs w:val="24"/>
          <w:u w:val="single"/>
          <w:lang w:val="cy-GB"/>
        </w:rPr>
      </w:pPr>
      <w:r w:rsidRPr="004E62E4">
        <w:rPr>
          <w:b/>
          <w:sz w:val="24"/>
          <w:szCs w:val="24"/>
          <w:u w:val="single"/>
          <w:lang w:val="cy-GB"/>
        </w:rPr>
        <w:t>ADRAN A (40 marc)</w:t>
      </w:r>
    </w:p>
    <w:p w14:paraId="05F17BA4" w14:textId="77777777" w:rsidR="00AF31AA" w:rsidRPr="004E62E4" w:rsidRDefault="00AF31AA">
      <w:pPr>
        <w:jc w:val="center"/>
        <w:rPr>
          <w:sz w:val="24"/>
          <w:szCs w:val="24"/>
          <w:u w:val="single"/>
          <w:lang w:val="cy-GB"/>
        </w:rPr>
      </w:pPr>
    </w:p>
    <w:p w14:paraId="1C20F36F" w14:textId="77777777" w:rsidR="00AF31AA" w:rsidRPr="004E62E4" w:rsidRDefault="006A2C69">
      <w:pPr>
        <w:rPr>
          <w:b/>
          <w:sz w:val="24"/>
          <w:szCs w:val="24"/>
          <w:u w:val="single"/>
          <w:lang w:val="cy-GB"/>
        </w:rPr>
      </w:pPr>
      <w:r w:rsidRPr="004E62E4">
        <w:rPr>
          <w:b/>
          <w:sz w:val="24"/>
          <w:szCs w:val="24"/>
          <w:u w:val="single"/>
          <w:lang w:val="cy-GB"/>
        </w:rPr>
        <w:t>Atebwch UN o'r cwestiynau canlynol:</w:t>
      </w:r>
    </w:p>
    <w:p w14:paraId="3727AD49" w14:textId="77777777" w:rsidR="00AF31AA" w:rsidRPr="004E62E4" w:rsidRDefault="00AF31AA">
      <w:pPr>
        <w:rPr>
          <w:b/>
          <w:sz w:val="24"/>
          <w:szCs w:val="24"/>
          <w:u w:val="single"/>
          <w:lang w:val="cy-GB"/>
        </w:rPr>
      </w:pPr>
    </w:p>
    <w:p w14:paraId="082F99B2" w14:textId="77777777" w:rsidR="00AF31AA" w:rsidRPr="004E62E4" w:rsidRDefault="006A2C69">
      <w:pPr>
        <w:pStyle w:val="ListParagraph"/>
        <w:numPr>
          <w:ilvl w:val="0"/>
          <w:numId w:val="3"/>
        </w:numPr>
        <w:spacing w:after="160" w:line="259" w:lineRule="auto"/>
        <w:rPr>
          <w:lang w:val="cy-GB"/>
        </w:rPr>
      </w:pPr>
      <w:r w:rsidRPr="004E62E4">
        <w:rPr>
          <w:sz w:val="24"/>
          <w:szCs w:val="24"/>
          <w:lang w:val="cy-GB"/>
        </w:rPr>
        <w:t xml:space="preserve">Trafodwch y rhan y mae'r gyfraith yn ei chwarae yn </w:t>
      </w:r>
      <w:r w:rsidRPr="004D1738">
        <w:rPr>
          <w:b/>
          <w:sz w:val="24"/>
          <w:szCs w:val="24"/>
          <w:u w:val="single"/>
          <w:lang w:val="cy-GB"/>
        </w:rPr>
        <w:t>un</w:t>
      </w:r>
      <w:r w:rsidRPr="004E62E4">
        <w:rPr>
          <w:sz w:val="24"/>
          <w:szCs w:val="24"/>
          <w:lang w:val="cy-GB"/>
        </w:rPr>
        <w:t xml:space="preserve"> o'r meysydd canlynol.  Esboniwch pam y gallai hynny fod yn ddadleuol. Trafodwch sut ac i ba raddau y gallai'r gyfraith gyfrannu at ddatrys y problemau yn y maes:</w:t>
      </w:r>
    </w:p>
    <w:p w14:paraId="252802C7" w14:textId="77777777" w:rsidR="00AF31AA" w:rsidRPr="004E62E4" w:rsidRDefault="006A2C69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>Arfau awtomataidd</w:t>
      </w:r>
    </w:p>
    <w:p w14:paraId="0AFF6037" w14:textId="77777777" w:rsidR="00AF31AA" w:rsidRPr="004E62E4" w:rsidRDefault="006A2C69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>Ansawdd aer a llygredd allyriadau</w:t>
      </w:r>
    </w:p>
    <w:p w14:paraId="021AE23F" w14:textId="77777777" w:rsidR="00AF31AA" w:rsidRPr="004E62E4" w:rsidRDefault="006A2C69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>Cerbydau di-yrrwr</w:t>
      </w:r>
    </w:p>
    <w:p w14:paraId="5C662A35" w14:textId="77777777" w:rsidR="00AF31AA" w:rsidRPr="004E62E4" w:rsidRDefault="006A2C69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>Gwahaniaeth rhwng cyflogau dynion a menywod</w:t>
      </w:r>
    </w:p>
    <w:p w14:paraId="566E0A3F" w14:textId="77777777" w:rsidR="00AF31AA" w:rsidRPr="004E62E4" w:rsidRDefault="00AF31AA">
      <w:pPr>
        <w:rPr>
          <w:sz w:val="24"/>
          <w:szCs w:val="24"/>
          <w:lang w:val="cy-GB"/>
        </w:rPr>
      </w:pPr>
    </w:p>
    <w:p w14:paraId="568BFF4F" w14:textId="77777777" w:rsidR="00AF31AA" w:rsidRPr="004E62E4" w:rsidRDefault="006A2C69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>Eglurwch ystyr "cyfraith" a "moesoldeb". Yn eich barn chi, i ba raddau y dylai'r gyfraith gael ei dylanwadu gan foesoldeb?</w:t>
      </w:r>
    </w:p>
    <w:p w14:paraId="53CE4D2B" w14:textId="77777777" w:rsidR="00AF31AA" w:rsidRPr="004E62E4" w:rsidRDefault="00AF31AA">
      <w:pPr>
        <w:pStyle w:val="ListParagraph"/>
        <w:rPr>
          <w:sz w:val="24"/>
          <w:szCs w:val="24"/>
          <w:lang w:val="cy-GB"/>
        </w:rPr>
      </w:pPr>
    </w:p>
    <w:p w14:paraId="2C7351CD" w14:textId="77777777" w:rsidR="00AF31AA" w:rsidRPr="004E62E4" w:rsidRDefault="006A2C69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 xml:space="preserve">Pam yr ydyn ni'n cosbi troseddwyr? Beth yw diben cosbi yn y gyfundrefn cyfiawnder troseddol? </w:t>
      </w:r>
    </w:p>
    <w:p w14:paraId="5F15DD84" w14:textId="77777777" w:rsidR="00AF31AA" w:rsidRPr="004E62E4" w:rsidRDefault="00AF31AA">
      <w:pPr>
        <w:pStyle w:val="ListParagraph"/>
        <w:rPr>
          <w:sz w:val="24"/>
          <w:szCs w:val="24"/>
          <w:lang w:val="cy-GB"/>
        </w:rPr>
      </w:pPr>
    </w:p>
    <w:p w14:paraId="64E00C0F" w14:textId="77777777" w:rsidR="00AF31AA" w:rsidRPr="004E62E4" w:rsidRDefault="00AF31AA">
      <w:pPr>
        <w:rPr>
          <w:sz w:val="24"/>
          <w:szCs w:val="24"/>
          <w:lang w:val="cy-GB"/>
        </w:rPr>
      </w:pPr>
    </w:p>
    <w:p w14:paraId="023B8600" w14:textId="77777777" w:rsidR="00AF31AA" w:rsidRPr="004E62E4" w:rsidRDefault="00AF31AA">
      <w:pPr>
        <w:rPr>
          <w:sz w:val="24"/>
          <w:szCs w:val="24"/>
          <w:lang w:val="cy-GB"/>
        </w:rPr>
      </w:pPr>
    </w:p>
    <w:p w14:paraId="40906CB7" w14:textId="77777777" w:rsidR="00AF31AA" w:rsidRPr="004E62E4" w:rsidRDefault="00AF31AA">
      <w:pPr>
        <w:rPr>
          <w:sz w:val="24"/>
          <w:szCs w:val="24"/>
          <w:lang w:val="cy-GB"/>
        </w:rPr>
      </w:pPr>
    </w:p>
    <w:p w14:paraId="7FA78398" w14:textId="77777777" w:rsidR="00AF31AA" w:rsidRPr="004E62E4" w:rsidRDefault="00AF31AA">
      <w:pPr>
        <w:rPr>
          <w:sz w:val="24"/>
          <w:szCs w:val="24"/>
          <w:lang w:val="cy-GB"/>
        </w:rPr>
      </w:pPr>
    </w:p>
    <w:p w14:paraId="58704A44" w14:textId="77777777" w:rsidR="00AF31AA" w:rsidRPr="004E62E4" w:rsidRDefault="006A2C69">
      <w:pPr>
        <w:rPr>
          <w:b/>
          <w:sz w:val="24"/>
          <w:szCs w:val="24"/>
          <w:u w:val="single"/>
          <w:lang w:val="cy-GB"/>
        </w:rPr>
      </w:pPr>
      <w:r w:rsidRPr="004E62E4">
        <w:rPr>
          <w:lang w:val="cy-GB"/>
        </w:rPr>
        <w:br w:type="page"/>
      </w:r>
    </w:p>
    <w:p w14:paraId="66DDE9D8" w14:textId="77777777" w:rsidR="00AF31AA" w:rsidRPr="004E62E4" w:rsidRDefault="006A2C69">
      <w:pPr>
        <w:jc w:val="center"/>
        <w:rPr>
          <w:b/>
          <w:sz w:val="24"/>
          <w:szCs w:val="24"/>
          <w:u w:val="single"/>
          <w:lang w:val="cy-GB"/>
        </w:rPr>
      </w:pPr>
      <w:r w:rsidRPr="004E62E4">
        <w:rPr>
          <w:b/>
          <w:sz w:val="24"/>
          <w:szCs w:val="24"/>
          <w:u w:val="single"/>
          <w:lang w:val="cy-GB"/>
        </w:rPr>
        <w:lastRenderedPageBreak/>
        <w:t>ADRAN B (30 MARC)</w:t>
      </w:r>
    </w:p>
    <w:p w14:paraId="6A60E6D2" w14:textId="77777777" w:rsidR="00AF31AA" w:rsidRPr="004E62E4" w:rsidRDefault="00AF31AA">
      <w:pPr>
        <w:rPr>
          <w:sz w:val="24"/>
          <w:szCs w:val="24"/>
          <w:lang w:val="cy-GB"/>
        </w:rPr>
      </w:pPr>
    </w:p>
    <w:p w14:paraId="228400F3" w14:textId="77777777" w:rsidR="00AF31AA" w:rsidRPr="004E62E4" w:rsidRDefault="006A2C69">
      <w:pPr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>Yn ôl y gyfraith sy'n ymwneud â lladrad:</w:t>
      </w:r>
    </w:p>
    <w:p w14:paraId="3D252B04" w14:textId="77777777" w:rsidR="00AF31AA" w:rsidRPr="004E62E4" w:rsidRDefault="00AF31AA">
      <w:pPr>
        <w:rPr>
          <w:sz w:val="24"/>
          <w:szCs w:val="24"/>
          <w:lang w:val="cy-GB"/>
        </w:rPr>
      </w:pPr>
    </w:p>
    <w:p w14:paraId="55F00FE5" w14:textId="77777777" w:rsidR="00AF31AA" w:rsidRPr="004E62E4" w:rsidRDefault="006A2C69">
      <w:pPr>
        <w:ind w:firstLine="720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 xml:space="preserve">Adran 8 Deddf Dwyn 1968 </w:t>
      </w:r>
    </w:p>
    <w:p w14:paraId="759E9D0E" w14:textId="77777777" w:rsidR="00AF31AA" w:rsidRPr="004E62E4" w:rsidRDefault="006A2C69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 xml:space="preserve">Mae rhywun yn euog o ladrad os yw'n dwyn ac, yn union cyn </w:t>
      </w:r>
      <w:r w:rsidR="00FB465B">
        <w:rPr>
          <w:sz w:val="24"/>
          <w:szCs w:val="24"/>
          <w:lang w:val="cy-GB"/>
        </w:rPr>
        <w:t xml:space="preserve">gwneud hynny, </w:t>
      </w:r>
      <w:r w:rsidRPr="004E62E4">
        <w:rPr>
          <w:sz w:val="24"/>
          <w:szCs w:val="24"/>
          <w:lang w:val="cy-GB"/>
        </w:rPr>
        <w:t xml:space="preserve">neu </w:t>
      </w:r>
      <w:r w:rsidR="00FB465B">
        <w:rPr>
          <w:sz w:val="24"/>
          <w:szCs w:val="24"/>
          <w:lang w:val="cy-GB"/>
        </w:rPr>
        <w:t>wrth wneud hynny</w:t>
      </w:r>
      <w:r w:rsidRPr="004E62E4">
        <w:rPr>
          <w:sz w:val="24"/>
          <w:szCs w:val="24"/>
          <w:lang w:val="cy-GB"/>
        </w:rPr>
        <w:t xml:space="preserve">, ac er mwyn gwneud hynny, mae'n defnyddio grym yn erbyn </w:t>
      </w:r>
      <w:r w:rsidR="00FB465B">
        <w:rPr>
          <w:sz w:val="24"/>
          <w:szCs w:val="24"/>
          <w:lang w:val="cy-GB"/>
        </w:rPr>
        <w:t>rhyw</w:t>
      </w:r>
      <w:r w:rsidRPr="004E62E4">
        <w:rPr>
          <w:sz w:val="24"/>
          <w:szCs w:val="24"/>
          <w:lang w:val="cy-GB"/>
        </w:rPr>
        <w:t xml:space="preserve">un, neu’n </w:t>
      </w:r>
      <w:r w:rsidR="00FB465B">
        <w:rPr>
          <w:sz w:val="24"/>
          <w:szCs w:val="24"/>
          <w:lang w:val="cy-GB"/>
        </w:rPr>
        <w:t xml:space="preserve">codi ofn neu geisio codi ofn ar rywun y byddant yn wynebu grym yn </w:t>
      </w:r>
      <w:r w:rsidRPr="004E62E4">
        <w:rPr>
          <w:sz w:val="24"/>
          <w:szCs w:val="24"/>
          <w:lang w:val="cy-GB"/>
        </w:rPr>
        <w:t xml:space="preserve">y fan a'r lle.  </w:t>
      </w:r>
    </w:p>
    <w:p w14:paraId="60FC0C42" w14:textId="77777777" w:rsidR="00AF31AA" w:rsidRPr="004E62E4" w:rsidRDefault="00AF31AA">
      <w:pPr>
        <w:pStyle w:val="ListParagraph"/>
        <w:ind w:left="1080"/>
        <w:rPr>
          <w:sz w:val="24"/>
          <w:szCs w:val="24"/>
          <w:lang w:val="cy-GB"/>
        </w:rPr>
      </w:pPr>
    </w:p>
    <w:p w14:paraId="406F28A7" w14:textId="77777777" w:rsidR="00AF31AA" w:rsidRPr="004E62E4" w:rsidRDefault="006A2C69">
      <w:pPr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 xml:space="preserve">Chi yw'r barnwr sy'n gorfod penderfynu a yw elfennau'r drosedd wedi eu cyflawni yn yr achosion canlynol: </w:t>
      </w:r>
    </w:p>
    <w:p w14:paraId="03775EFF" w14:textId="77777777" w:rsidR="00AF31AA" w:rsidRPr="004E62E4" w:rsidRDefault="00AF31AA">
      <w:pPr>
        <w:rPr>
          <w:sz w:val="24"/>
          <w:szCs w:val="24"/>
          <w:lang w:val="cy-GB"/>
        </w:rPr>
      </w:pPr>
    </w:p>
    <w:p w14:paraId="15840553" w14:textId="77777777" w:rsidR="00AF31AA" w:rsidRPr="004E62E4" w:rsidRDefault="006A2C69">
      <w:pPr>
        <w:ind w:firstLine="720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 xml:space="preserve">a) Bob, sy'n cerdded i fyny y tu ôl i Mary </w:t>
      </w:r>
      <w:r w:rsidR="008C0909">
        <w:rPr>
          <w:sz w:val="24"/>
          <w:szCs w:val="24"/>
          <w:lang w:val="cy-GB"/>
        </w:rPr>
        <w:t>ac yn c</w:t>
      </w:r>
      <w:r w:rsidR="00FB465B">
        <w:rPr>
          <w:sz w:val="24"/>
          <w:szCs w:val="24"/>
          <w:lang w:val="cy-GB"/>
        </w:rPr>
        <w:t>i</w:t>
      </w:r>
      <w:r w:rsidRPr="004E62E4">
        <w:rPr>
          <w:sz w:val="24"/>
          <w:szCs w:val="24"/>
          <w:lang w:val="cy-GB"/>
        </w:rPr>
        <w:t xml:space="preserve">pio ei phwrs o'i llaw, cyn rhedeg i ffwrdd  </w:t>
      </w:r>
    </w:p>
    <w:p w14:paraId="04CD0CD5" w14:textId="77777777" w:rsidR="00AF31AA" w:rsidRPr="004E62E4" w:rsidRDefault="006A2C69">
      <w:pPr>
        <w:ind w:left="720"/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 xml:space="preserve">b) Charles, sy'n mynd at ddau fachgen ysgol ifanc gan fynnu eu harian cinio trwy fygwth rhyddhau ei gi arnynt. </w:t>
      </w:r>
    </w:p>
    <w:p w14:paraId="49720C63" w14:textId="77777777" w:rsidR="00AF31AA" w:rsidRPr="004E62E4" w:rsidRDefault="00AF31AA">
      <w:pPr>
        <w:rPr>
          <w:sz w:val="24"/>
          <w:szCs w:val="24"/>
          <w:lang w:val="cy-GB"/>
        </w:rPr>
      </w:pPr>
    </w:p>
    <w:p w14:paraId="375216F8" w14:textId="77777777" w:rsidR="00AF31AA" w:rsidRPr="004E62E4" w:rsidRDefault="006A2C69">
      <w:pPr>
        <w:rPr>
          <w:sz w:val="24"/>
          <w:szCs w:val="24"/>
          <w:lang w:val="cy-GB"/>
        </w:rPr>
      </w:pPr>
      <w:r w:rsidRPr="004E62E4">
        <w:rPr>
          <w:sz w:val="24"/>
          <w:szCs w:val="24"/>
          <w:lang w:val="cy-GB"/>
        </w:rPr>
        <w:t xml:space="preserve">Pa un o'r diffynyddion, os un ohonynt, ydych chi'n penderfynu sy'n euog o ladrad? Esboniwch eich rhesymeg ym mhob achos. </w:t>
      </w:r>
    </w:p>
    <w:p w14:paraId="6347FC3D" w14:textId="77777777" w:rsidR="00AF31AA" w:rsidRPr="004E62E4" w:rsidRDefault="00AF31AA">
      <w:pPr>
        <w:jc w:val="center"/>
        <w:rPr>
          <w:sz w:val="24"/>
          <w:szCs w:val="24"/>
          <w:u w:val="single"/>
          <w:lang w:val="cy-GB"/>
        </w:rPr>
      </w:pPr>
    </w:p>
    <w:p w14:paraId="5BA48953" w14:textId="77777777" w:rsidR="00AF31AA" w:rsidRPr="004E62E4" w:rsidRDefault="00AF31AA">
      <w:pPr>
        <w:jc w:val="center"/>
        <w:rPr>
          <w:sz w:val="24"/>
          <w:szCs w:val="24"/>
          <w:u w:val="single"/>
          <w:lang w:val="cy-GB"/>
        </w:rPr>
      </w:pPr>
    </w:p>
    <w:p w14:paraId="523514D6" w14:textId="77777777" w:rsidR="00AF31AA" w:rsidRPr="004E62E4" w:rsidRDefault="006A2C69">
      <w:pPr>
        <w:jc w:val="center"/>
        <w:rPr>
          <w:b/>
          <w:sz w:val="24"/>
          <w:szCs w:val="24"/>
          <w:u w:val="single"/>
          <w:lang w:val="cy-GB"/>
        </w:rPr>
      </w:pPr>
      <w:r w:rsidRPr="004E62E4">
        <w:rPr>
          <w:b/>
          <w:sz w:val="24"/>
          <w:szCs w:val="24"/>
          <w:u w:val="single"/>
          <w:lang w:val="cy-GB"/>
        </w:rPr>
        <w:t>ADRAN C (30 MARC)</w:t>
      </w:r>
    </w:p>
    <w:p w14:paraId="596D2DDB" w14:textId="77777777" w:rsidR="00AF31AA" w:rsidRPr="004E62E4" w:rsidRDefault="00AF31AA">
      <w:pPr>
        <w:jc w:val="both"/>
        <w:rPr>
          <w:rFonts w:cs="Calibri"/>
          <w:sz w:val="24"/>
          <w:szCs w:val="24"/>
          <w:lang w:val="cy-GB"/>
        </w:rPr>
      </w:pPr>
    </w:p>
    <w:p w14:paraId="4C851BC6" w14:textId="77777777" w:rsidR="00AF31AA" w:rsidRPr="004E62E4" w:rsidRDefault="006A2C69">
      <w:pPr>
        <w:jc w:val="both"/>
        <w:rPr>
          <w:rFonts w:cs="Calibri"/>
          <w:sz w:val="24"/>
          <w:szCs w:val="24"/>
          <w:lang w:val="cy-GB"/>
        </w:rPr>
      </w:pPr>
      <w:r w:rsidRPr="004E62E4">
        <w:rPr>
          <w:rFonts w:cs="Calibri"/>
          <w:sz w:val="24"/>
          <w:szCs w:val="24"/>
          <w:lang w:val="cy-GB"/>
        </w:rPr>
        <w:t>'Mae rheithgor yn cynnwys 12 unigolyn a ddewisir ar hap o'r panel priodol. Dylid esgusodi rheithiwr os oes a wnelo ffeithiau'r achos dan sylw ag ef yn bersonol, neu os oes gandd</w:t>
      </w:r>
      <w:r w:rsidR="000A37F9">
        <w:rPr>
          <w:rFonts w:cs="Calibri"/>
          <w:sz w:val="24"/>
          <w:szCs w:val="24"/>
          <w:lang w:val="cy-GB"/>
        </w:rPr>
        <w:t>o</w:t>
      </w:r>
      <w:r w:rsidRPr="004E62E4">
        <w:rPr>
          <w:rFonts w:cs="Calibri"/>
          <w:sz w:val="24"/>
          <w:szCs w:val="24"/>
          <w:lang w:val="cy-GB"/>
        </w:rPr>
        <w:t xml:space="preserve"> gysylltiad agos ag un o'r partïon yn yr achos neu â darpar dyst. Gellir ei esgusodi hefyd yn ôl disgresiwn y barnwr ar sail caledi personol neu wrthwynebiad cydwybodol i wasanaeth rheithgor. Mae'n groes i arfer sefydledig i reithwyr gael eu hesgusodi ar sail fwy cyffredinol megis hil, crefydd neu gredoau gwleidyddol neu alwedigaeth.' Cyfarwyddyd Ymarfer a gyhoeddwyd gan yr Arglwydd Brif Ustus ar 12 Ionawr, 1973. </w:t>
      </w:r>
    </w:p>
    <w:p w14:paraId="29876661" w14:textId="77777777" w:rsidR="00AF31AA" w:rsidRPr="004E62E4" w:rsidRDefault="00AF31AA">
      <w:pPr>
        <w:jc w:val="both"/>
        <w:rPr>
          <w:rFonts w:cs="Calibri"/>
          <w:sz w:val="24"/>
          <w:szCs w:val="24"/>
          <w:lang w:val="cy-GB"/>
        </w:rPr>
      </w:pPr>
    </w:p>
    <w:p w14:paraId="4A6F5CD9" w14:textId="77777777" w:rsidR="00AF31AA" w:rsidRPr="004E62E4" w:rsidRDefault="006A2C69">
      <w:pPr>
        <w:jc w:val="both"/>
        <w:rPr>
          <w:rFonts w:eastAsia="Times New Roman" w:cs="Calibri"/>
          <w:sz w:val="24"/>
          <w:szCs w:val="24"/>
          <w:lang w:val="cy-GB"/>
        </w:rPr>
      </w:pPr>
      <w:r w:rsidRPr="004E62E4">
        <w:rPr>
          <w:rFonts w:eastAsia="Times New Roman" w:cs="Calibri"/>
          <w:sz w:val="24"/>
          <w:szCs w:val="24"/>
          <w:lang w:val="cy-GB"/>
        </w:rPr>
        <w:t xml:space="preserve">Rhowch ddwy ddadl o blaid gadael i heddweision wasanaethu ar reithgor, a dwy ddadl yn erbyn y syniad o adael i heddweision wasanaethu ar reithgor.     </w:t>
      </w:r>
    </w:p>
    <w:p w14:paraId="2D49C0DB" w14:textId="77777777" w:rsidR="00AF31AA" w:rsidRPr="004E62E4" w:rsidRDefault="00AF31AA">
      <w:pPr>
        <w:jc w:val="both"/>
        <w:rPr>
          <w:sz w:val="24"/>
          <w:szCs w:val="24"/>
          <w:u w:val="single"/>
          <w:lang w:val="cy-GB"/>
        </w:rPr>
      </w:pPr>
    </w:p>
    <w:p w14:paraId="01786B1A" w14:textId="77777777" w:rsidR="00AF31AA" w:rsidRPr="004E62E4" w:rsidRDefault="00AF31AA">
      <w:pPr>
        <w:ind w:right="-421" w:hanging="567"/>
        <w:rPr>
          <w:lang w:val="cy-GB"/>
        </w:rPr>
      </w:pPr>
    </w:p>
    <w:sectPr w:rsidR="00AF31AA" w:rsidRPr="004E62E4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5B1D3" w14:textId="77777777" w:rsidR="009C1433" w:rsidRDefault="009C1433">
      <w:r>
        <w:separator/>
      </w:r>
    </w:p>
  </w:endnote>
  <w:endnote w:type="continuationSeparator" w:id="0">
    <w:p w14:paraId="02020431" w14:textId="77777777" w:rsidR="009C1433" w:rsidRDefault="009C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5A8C" w14:textId="77777777" w:rsidR="00AF31AA" w:rsidRDefault="004E62E4">
    <w:pPr>
      <w:tabs>
        <w:tab w:val="center" w:pos="4550"/>
        <w:tab w:val="left" w:pos="5818"/>
      </w:tabs>
      <w:ind w:right="260"/>
      <w:jc w:val="right"/>
    </w:pPr>
    <w:r w:rsidRPr="004E62E4">
      <w:rPr>
        <w:color w:val="8496B0"/>
        <w:spacing w:val="60"/>
        <w:lang w:val="cy-GB"/>
      </w:rPr>
      <w:t>Tudalen</w:t>
    </w:r>
    <w:r w:rsidR="006A2C69">
      <w:rPr>
        <w:color w:val="8496B0"/>
      </w:rPr>
      <w:t xml:space="preserve"> </w:t>
    </w:r>
    <w:r w:rsidR="006A2C69">
      <w:rPr>
        <w:color w:val="323E4F"/>
      </w:rPr>
      <w:fldChar w:fldCharType="begin"/>
    </w:r>
    <w:r w:rsidR="006A2C69">
      <w:instrText>PAGE</w:instrText>
    </w:r>
    <w:r w:rsidR="006A2C69">
      <w:fldChar w:fldCharType="separate"/>
    </w:r>
    <w:r w:rsidR="006A2C69">
      <w:t>2</w:t>
    </w:r>
    <w:r w:rsidR="006A2C69">
      <w:fldChar w:fldCharType="end"/>
    </w:r>
    <w:r w:rsidR="006A2C69">
      <w:rPr>
        <w:color w:val="323E4F"/>
      </w:rPr>
      <w:t xml:space="preserve"> | </w:t>
    </w:r>
    <w:r w:rsidR="006A2C69">
      <w:rPr>
        <w:color w:val="323E4F"/>
      </w:rPr>
      <w:fldChar w:fldCharType="begin"/>
    </w:r>
    <w:r w:rsidR="006A2C69">
      <w:instrText>NUMPAGES \* ARABIC</w:instrText>
    </w:r>
    <w:r w:rsidR="006A2C69">
      <w:fldChar w:fldCharType="separate"/>
    </w:r>
    <w:r w:rsidR="006A2C69">
      <w:t>2</w:t>
    </w:r>
    <w:r w:rsidR="006A2C69">
      <w:fldChar w:fldCharType="end"/>
    </w:r>
  </w:p>
  <w:p w14:paraId="6EBC686D" w14:textId="77777777" w:rsidR="00AF31AA" w:rsidRDefault="00AF3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FCF47" w14:textId="77777777" w:rsidR="009C1433" w:rsidRDefault="009C1433">
      <w:r>
        <w:separator/>
      </w:r>
    </w:p>
  </w:footnote>
  <w:footnote w:type="continuationSeparator" w:id="0">
    <w:p w14:paraId="04C63C5F" w14:textId="77777777" w:rsidR="009C1433" w:rsidRDefault="009C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AF31AA" w14:paraId="1E0550C4" w14:textId="77777777">
      <w:tc>
        <w:tcPr>
          <w:tcW w:w="5246" w:type="dxa"/>
          <w:shd w:val="clear" w:color="auto" w:fill="auto"/>
        </w:tcPr>
        <w:p w14:paraId="763D2777" w14:textId="77777777" w:rsidR="00AF31AA" w:rsidRDefault="00AF31AA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2320024F" w14:textId="77777777" w:rsidR="00AF31AA" w:rsidRDefault="00AF31AA">
          <w:pPr>
            <w:pStyle w:val="Header"/>
            <w:jc w:val="center"/>
          </w:pPr>
        </w:p>
      </w:tc>
    </w:tr>
  </w:tbl>
  <w:p w14:paraId="4CF82E4B" w14:textId="77777777" w:rsidR="00AF31AA" w:rsidRDefault="00AF3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2AE5"/>
    <w:multiLevelType w:val="multilevel"/>
    <w:tmpl w:val="88DCCF4C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F04A6"/>
    <w:multiLevelType w:val="multilevel"/>
    <w:tmpl w:val="002C18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C76A44"/>
    <w:multiLevelType w:val="multilevel"/>
    <w:tmpl w:val="ECB2279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793A2E"/>
    <w:multiLevelType w:val="multilevel"/>
    <w:tmpl w:val="56020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D7D"/>
    <w:multiLevelType w:val="multilevel"/>
    <w:tmpl w:val="7C02F49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AA"/>
    <w:rsid w:val="000A37F9"/>
    <w:rsid w:val="003620D9"/>
    <w:rsid w:val="004D1738"/>
    <w:rsid w:val="004E62E4"/>
    <w:rsid w:val="006A2C69"/>
    <w:rsid w:val="008C0909"/>
    <w:rsid w:val="009B2A2E"/>
    <w:rsid w:val="009C1433"/>
    <w:rsid w:val="00A31935"/>
    <w:rsid w:val="00A40EFE"/>
    <w:rsid w:val="00AF31AA"/>
    <w:rsid w:val="00F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1E13"/>
  <w15:docId w15:val="{D8EBD9A9-372C-4F1A-A68F-EB841CF7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ListLabel1">
    <w:name w:val="ListLabel 1"/>
    <w:qFormat/>
    <w:rPr>
      <w:rFonts w:eastAsia="Calibri" w:cs="Calibri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2020-12-11T10:23:00Z</dcterms:created>
  <dcterms:modified xsi:type="dcterms:W3CDTF">2021-01-15T12:22:00Z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