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F8" w:rsidRDefault="007A42F8">
      <w:pPr>
        <w:rPr>
          <w:rFonts w:ascii="Arial" w:hAnsi="Arial" w:cs="Arial"/>
        </w:rPr>
      </w:pPr>
      <w:r>
        <w:rPr>
          <w:rFonts w:ascii="Arial" w:hAnsi="Arial" w:cs="Arial"/>
        </w:rPr>
        <w:t>ABS Lecture series: Financial Objectives and Cash-flow</w:t>
      </w:r>
    </w:p>
    <w:p w:rsidR="007A42F8" w:rsidRDefault="007A42F8">
      <w:pPr>
        <w:rPr>
          <w:rFonts w:ascii="Arial" w:hAnsi="Arial" w:cs="Arial"/>
        </w:rPr>
      </w:pPr>
    </w:p>
    <w:p w:rsidR="00AB762B" w:rsidRDefault="00AB762B">
      <w:pPr>
        <w:rPr>
          <w:rFonts w:ascii="Arial" w:hAnsi="Arial" w:cs="Arial"/>
        </w:rPr>
      </w:pPr>
      <w:r w:rsidRPr="00647E83">
        <w:rPr>
          <w:rFonts w:ascii="Arial" w:hAnsi="Arial" w:cs="Arial"/>
        </w:rPr>
        <w:t xml:space="preserve">Cash- flow crisis     </w:t>
      </w:r>
      <w:r w:rsidR="007A42F8">
        <w:rPr>
          <w:rFonts w:ascii="Arial" w:hAnsi="Arial" w:cs="Arial"/>
        </w:rPr>
        <w:t>Watch UK</w:t>
      </w:r>
      <w:r w:rsidRPr="00647E83">
        <w:rPr>
          <w:rFonts w:ascii="Arial" w:hAnsi="Arial" w:cs="Arial"/>
        </w:rPr>
        <w:t xml:space="preserve"> </w:t>
      </w:r>
    </w:p>
    <w:p w:rsidR="007A42F8" w:rsidRPr="00647E83" w:rsidRDefault="007A42F8">
      <w:pPr>
        <w:rPr>
          <w:rFonts w:ascii="Arial" w:hAnsi="Arial" w:cs="Arial"/>
        </w:rPr>
      </w:pPr>
    </w:p>
    <w:p w:rsidR="00AB762B" w:rsidRPr="00647E83" w:rsidRDefault="00AB762B">
      <w:pPr>
        <w:rPr>
          <w:rFonts w:ascii="Arial" w:hAnsi="Arial" w:cs="Arial"/>
        </w:rPr>
      </w:pPr>
      <w:r w:rsidRPr="00647E83">
        <w:rPr>
          <w:rFonts w:ascii="Arial" w:hAnsi="Arial" w:cs="Arial"/>
        </w:rPr>
        <w:t xml:space="preserve">Neville Smith was very worried. He had seen turnover in his </w:t>
      </w:r>
      <w:r w:rsidR="007A42F8" w:rsidRPr="00647E83">
        <w:rPr>
          <w:rFonts w:ascii="Arial" w:hAnsi="Arial" w:cs="Arial"/>
        </w:rPr>
        <w:t>Surveillance</w:t>
      </w:r>
      <w:r w:rsidRPr="00647E83">
        <w:rPr>
          <w:rFonts w:ascii="Arial" w:hAnsi="Arial" w:cs="Arial"/>
        </w:rPr>
        <w:t xml:space="preserve"> business, rise by 50 percent cent between 2017 and 2018, with a similar increase in gross profit. However, after operating costs had been deducted, a loss of £16,300 in 2017 had only been turned into an operating profit of £7,330 in 2018, a return on sales of less than 3 percent.</w:t>
      </w:r>
    </w:p>
    <w:p w:rsidR="00AB762B" w:rsidRPr="00647E83" w:rsidRDefault="00AB762B">
      <w:pPr>
        <w:rPr>
          <w:rFonts w:ascii="Arial" w:hAnsi="Arial" w:cs="Arial"/>
        </w:rPr>
      </w:pPr>
    </w:p>
    <w:p w:rsidR="00AB762B" w:rsidRPr="00647E83" w:rsidRDefault="00AB762B">
      <w:pPr>
        <w:rPr>
          <w:rFonts w:ascii="Arial" w:hAnsi="Arial" w:cs="Arial"/>
        </w:rPr>
      </w:pPr>
      <w:r w:rsidRPr="00647E83">
        <w:rPr>
          <w:rFonts w:ascii="Arial" w:hAnsi="Arial" w:cs="Arial"/>
        </w:rPr>
        <w:t>Neville and his son Sam, a partner in the firm, knew that their gross profit margin on CCTV cameras was in line with industry norm, and in any case</w:t>
      </w:r>
      <w:r w:rsidR="00647E83" w:rsidRPr="00647E83">
        <w:rPr>
          <w:rFonts w:ascii="Arial" w:hAnsi="Arial" w:cs="Arial"/>
        </w:rPr>
        <w:t xml:space="preserve"> </w:t>
      </w:r>
      <w:r w:rsidR="007A42F8" w:rsidRPr="00647E83">
        <w:rPr>
          <w:rFonts w:ascii="Arial" w:hAnsi="Arial" w:cs="Arial"/>
        </w:rPr>
        <w:t>there</w:t>
      </w:r>
      <w:r w:rsidRPr="00647E83">
        <w:rPr>
          <w:rFonts w:ascii="Arial" w:hAnsi="Arial" w:cs="Arial"/>
        </w:rPr>
        <w:t xml:space="preserve"> after sales service was exceptional, yet they were not seeing the financial gains. After a meeting with the bank manager, </w:t>
      </w:r>
      <w:r w:rsidR="007A42F8" w:rsidRPr="00647E83">
        <w:rPr>
          <w:rFonts w:ascii="Arial" w:hAnsi="Arial" w:cs="Arial"/>
        </w:rPr>
        <w:t>they were</w:t>
      </w:r>
      <w:r w:rsidRPr="00647E83">
        <w:rPr>
          <w:rFonts w:ascii="Arial" w:hAnsi="Arial" w:cs="Arial"/>
        </w:rPr>
        <w:t xml:space="preserve"> required to produce a series </w:t>
      </w:r>
      <w:r w:rsidR="00647E83" w:rsidRPr="00647E83">
        <w:rPr>
          <w:rFonts w:ascii="Arial" w:hAnsi="Arial" w:cs="Arial"/>
        </w:rPr>
        <w:t>of budgets and incorporate them into a cash-flow forecast.</w:t>
      </w:r>
    </w:p>
    <w:p w:rsidR="00647E83" w:rsidRPr="00647E83" w:rsidRDefault="00647E83">
      <w:pPr>
        <w:rPr>
          <w:rFonts w:ascii="Arial" w:hAnsi="Arial" w:cs="Arial"/>
        </w:rPr>
      </w:pPr>
      <w:r>
        <w:rPr>
          <w:rFonts w:ascii="Arial" w:hAnsi="Arial" w:cs="Arial"/>
        </w:rPr>
        <w:t>Figure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47E83" w:rsidRPr="00647E83" w:rsidTr="00647E83">
        <w:tc>
          <w:tcPr>
            <w:tcW w:w="2254" w:type="dxa"/>
          </w:tcPr>
          <w:p w:rsidR="00647E83" w:rsidRPr="00647E83" w:rsidRDefault="00647E83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  <w:r w:rsidRPr="00647E83">
              <w:rPr>
                <w:rFonts w:ascii="Arial" w:hAnsi="Arial" w:cs="Arial"/>
              </w:rPr>
              <w:t>2017</w:t>
            </w:r>
          </w:p>
          <w:p w:rsidR="00647E83" w:rsidRPr="00647E83" w:rsidRDefault="00647E83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647E83" w:rsidRPr="00647E83" w:rsidRDefault="00647E83">
            <w:pPr>
              <w:rPr>
                <w:rFonts w:ascii="Arial" w:hAnsi="Arial" w:cs="Arial"/>
              </w:rPr>
            </w:pPr>
            <w:r w:rsidRPr="00647E83">
              <w:rPr>
                <w:rFonts w:ascii="Arial" w:hAnsi="Arial" w:cs="Arial"/>
              </w:rPr>
              <w:t>2018</w:t>
            </w:r>
          </w:p>
        </w:tc>
        <w:tc>
          <w:tcPr>
            <w:tcW w:w="2254" w:type="dxa"/>
          </w:tcPr>
          <w:p w:rsidR="00647E83" w:rsidRPr="00647E83" w:rsidRDefault="00647E83">
            <w:pPr>
              <w:rPr>
                <w:rFonts w:ascii="Arial" w:hAnsi="Arial" w:cs="Arial"/>
              </w:rPr>
            </w:pPr>
            <w:r w:rsidRPr="00647E83">
              <w:rPr>
                <w:rFonts w:ascii="Arial" w:hAnsi="Arial" w:cs="Arial"/>
              </w:rPr>
              <w:t>2019</w:t>
            </w:r>
          </w:p>
        </w:tc>
      </w:tr>
      <w:tr w:rsidR="00647E83" w:rsidRPr="00647E83" w:rsidTr="00647E83"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</w:p>
          <w:p w:rsidR="00647E83" w:rsidRDefault="00647E83">
            <w:pPr>
              <w:rPr>
                <w:rFonts w:ascii="Arial" w:hAnsi="Arial" w:cs="Arial"/>
              </w:rPr>
            </w:pPr>
            <w:r w:rsidRPr="00647E83">
              <w:rPr>
                <w:rFonts w:ascii="Arial" w:hAnsi="Arial" w:cs="Arial"/>
              </w:rPr>
              <w:t>Turnover</w:t>
            </w:r>
          </w:p>
          <w:p w:rsidR="00647E83" w:rsidRPr="00647E83" w:rsidRDefault="00647E83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</w:p>
          <w:p w:rsidR="00647E83" w:rsidRPr="00647E83" w:rsidRDefault="00647E83">
            <w:pPr>
              <w:rPr>
                <w:rFonts w:ascii="Arial" w:hAnsi="Arial" w:cs="Arial"/>
              </w:rPr>
            </w:pPr>
            <w:r w:rsidRPr="00647E83">
              <w:rPr>
                <w:rFonts w:ascii="Arial" w:hAnsi="Arial" w:cs="Arial"/>
              </w:rPr>
              <w:t>£240,000 (actual)</w:t>
            </w:r>
          </w:p>
        </w:tc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</w:p>
          <w:p w:rsidR="00647E83" w:rsidRPr="00647E83" w:rsidRDefault="00647E83">
            <w:pPr>
              <w:rPr>
                <w:rFonts w:ascii="Arial" w:hAnsi="Arial" w:cs="Arial"/>
              </w:rPr>
            </w:pPr>
            <w:r w:rsidRPr="00647E83">
              <w:rPr>
                <w:rFonts w:ascii="Arial" w:hAnsi="Arial" w:cs="Arial"/>
              </w:rPr>
              <w:t>£360,000 (actual)</w:t>
            </w:r>
          </w:p>
        </w:tc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</w:p>
          <w:p w:rsidR="00647E83" w:rsidRPr="00647E83" w:rsidRDefault="00647E83">
            <w:pPr>
              <w:rPr>
                <w:rFonts w:ascii="Arial" w:hAnsi="Arial" w:cs="Arial"/>
              </w:rPr>
            </w:pPr>
            <w:r w:rsidRPr="00647E83">
              <w:rPr>
                <w:rFonts w:ascii="Arial" w:hAnsi="Arial" w:cs="Arial"/>
              </w:rPr>
              <w:t>£480,000 (budget)</w:t>
            </w:r>
          </w:p>
        </w:tc>
      </w:tr>
    </w:tbl>
    <w:p w:rsidR="00647E83" w:rsidRDefault="00647E83">
      <w:pPr>
        <w:rPr>
          <w:rFonts w:ascii="Arial" w:hAnsi="Arial" w:cs="Arial"/>
        </w:rPr>
      </w:pPr>
    </w:p>
    <w:p w:rsidR="00647E83" w:rsidRDefault="00647E83">
      <w:pPr>
        <w:rPr>
          <w:rFonts w:ascii="Arial" w:hAnsi="Arial" w:cs="Arial"/>
        </w:rPr>
      </w:pPr>
      <w:r>
        <w:rPr>
          <w:rFonts w:ascii="Arial" w:hAnsi="Arial" w:cs="Arial"/>
        </w:rPr>
        <w:t>Their order book was expanding and they felt a 33 per cent increase in sales revenue was possible. The budgeted sales figures for the first 6 months are shown in the cash-flow forecast (figure 3).</w:t>
      </w:r>
    </w:p>
    <w:p w:rsidR="00647E83" w:rsidRDefault="00647E83">
      <w:pPr>
        <w:rPr>
          <w:rFonts w:ascii="Arial" w:hAnsi="Arial" w:cs="Arial"/>
        </w:rPr>
      </w:pPr>
    </w:p>
    <w:p w:rsidR="00647E83" w:rsidRDefault="00647E83">
      <w:pPr>
        <w:rPr>
          <w:rFonts w:ascii="Arial" w:hAnsi="Arial" w:cs="Arial"/>
        </w:rPr>
      </w:pPr>
      <w:r>
        <w:rPr>
          <w:rFonts w:ascii="Arial" w:hAnsi="Arial" w:cs="Arial"/>
        </w:rPr>
        <w:t>Figure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47E83" w:rsidTr="00647E83"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  <w:p w:rsidR="00647E83" w:rsidRDefault="00647E83">
            <w:pPr>
              <w:rPr>
                <w:rFonts w:ascii="Arial" w:hAnsi="Arial" w:cs="Arial"/>
              </w:rPr>
            </w:pPr>
          </w:p>
        </w:tc>
      </w:tr>
      <w:tr w:rsidR="00647E83" w:rsidTr="00647E83"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</w:p>
          <w:p w:rsidR="00647E83" w:rsidRDefault="00647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costs</w:t>
            </w:r>
          </w:p>
        </w:tc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</w:p>
          <w:p w:rsidR="00647E83" w:rsidRDefault="00647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£57,000 (actual)</w:t>
            </w:r>
          </w:p>
        </w:tc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</w:p>
          <w:p w:rsidR="00647E83" w:rsidRDefault="00647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£70,000 (actual)</w:t>
            </w:r>
          </w:p>
        </w:tc>
        <w:tc>
          <w:tcPr>
            <w:tcW w:w="2254" w:type="dxa"/>
          </w:tcPr>
          <w:p w:rsidR="00647E83" w:rsidRDefault="00647E83">
            <w:pPr>
              <w:rPr>
                <w:rFonts w:ascii="Arial" w:hAnsi="Arial" w:cs="Arial"/>
              </w:rPr>
            </w:pPr>
          </w:p>
          <w:p w:rsidR="00647E83" w:rsidRDefault="00647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£73,000 (budget)</w:t>
            </w:r>
          </w:p>
          <w:p w:rsidR="00647E83" w:rsidRDefault="00647E83">
            <w:pPr>
              <w:rPr>
                <w:rFonts w:ascii="Arial" w:hAnsi="Arial" w:cs="Arial"/>
              </w:rPr>
            </w:pPr>
          </w:p>
        </w:tc>
      </w:tr>
    </w:tbl>
    <w:p w:rsidR="00647E83" w:rsidRDefault="00647E83">
      <w:pPr>
        <w:rPr>
          <w:rFonts w:ascii="Arial" w:hAnsi="Arial" w:cs="Arial"/>
        </w:rPr>
      </w:pPr>
    </w:p>
    <w:p w:rsidR="00647E83" w:rsidRDefault="00647E83">
      <w:pPr>
        <w:rPr>
          <w:rFonts w:ascii="Arial" w:hAnsi="Arial" w:cs="Arial"/>
        </w:rPr>
      </w:pPr>
      <w:r>
        <w:rPr>
          <w:rFonts w:ascii="Arial" w:hAnsi="Arial" w:cs="Arial"/>
        </w:rPr>
        <w:t>The firm employed two engineers and one part time administrator. The engineers were paid a salary package, irrespective of the number of systems fitted or the time taken to fit them, packages which had increased substantially in 2018. Each engineer had use of a company van which they took home each night. The budgeted labour costs for the first 6 months are shown in the cash-flow forecast.</w:t>
      </w:r>
    </w:p>
    <w:p w:rsidR="00F45FDB" w:rsidRDefault="00F45FDB">
      <w:pPr>
        <w:rPr>
          <w:rFonts w:ascii="Arial" w:hAnsi="Arial" w:cs="Arial"/>
        </w:rPr>
      </w:pPr>
    </w:p>
    <w:p w:rsidR="00F45FDB" w:rsidRDefault="00F45FDB">
      <w:pPr>
        <w:rPr>
          <w:rFonts w:ascii="Arial" w:hAnsi="Arial" w:cs="Arial"/>
        </w:rPr>
      </w:pPr>
    </w:p>
    <w:p w:rsidR="00F45FDB" w:rsidRDefault="00F45FDB">
      <w:pPr>
        <w:rPr>
          <w:rFonts w:ascii="Arial" w:hAnsi="Arial" w:cs="Arial"/>
        </w:rPr>
      </w:pPr>
    </w:p>
    <w:p w:rsidR="00F45FDB" w:rsidRDefault="00F45FDB">
      <w:pPr>
        <w:rPr>
          <w:rFonts w:ascii="Arial" w:hAnsi="Arial" w:cs="Arial"/>
        </w:rPr>
      </w:pPr>
    </w:p>
    <w:p w:rsidR="00F45FDB" w:rsidRDefault="00F45FDB">
      <w:pPr>
        <w:rPr>
          <w:rFonts w:ascii="Arial" w:hAnsi="Arial" w:cs="Arial"/>
        </w:rPr>
      </w:pPr>
    </w:p>
    <w:p w:rsidR="00F45FDB" w:rsidRDefault="00F45FDB">
      <w:pPr>
        <w:rPr>
          <w:rFonts w:ascii="Arial" w:hAnsi="Arial" w:cs="Arial"/>
        </w:rPr>
      </w:pPr>
      <w:r>
        <w:rPr>
          <w:rFonts w:ascii="Arial" w:hAnsi="Arial" w:cs="Arial"/>
        </w:rPr>
        <w:t>CASH-FLOW FORECAST</w:t>
      </w:r>
    </w:p>
    <w:p w:rsidR="007A42F8" w:rsidRDefault="007A42F8">
      <w:pPr>
        <w:rPr>
          <w:rFonts w:ascii="Arial" w:hAnsi="Arial" w:cs="Arial"/>
        </w:rPr>
      </w:pPr>
      <w:r>
        <w:rPr>
          <w:rFonts w:ascii="Arial" w:hAnsi="Arial" w:cs="Arial"/>
        </w:rPr>
        <w:t>Figure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248"/>
        <w:gridCol w:w="1261"/>
        <w:gridCol w:w="1262"/>
        <w:gridCol w:w="1262"/>
        <w:gridCol w:w="1246"/>
        <w:gridCol w:w="1249"/>
      </w:tblGrid>
      <w:tr w:rsidR="00F45FDB" w:rsidTr="00F45FDB"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</w:t>
            </w:r>
          </w:p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£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£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£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£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£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£</w:t>
            </w:r>
          </w:p>
        </w:tc>
      </w:tr>
      <w:tr w:rsidR="00F45FDB" w:rsidTr="00F45FDB"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</w:t>
            </w:r>
            <w:r w:rsidR="007A42F8">
              <w:rPr>
                <w:rFonts w:ascii="Arial" w:hAnsi="Arial" w:cs="Arial"/>
              </w:rPr>
              <w:t>*</w:t>
            </w:r>
          </w:p>
          <w:p w:rsidR="00F45FDB" w:rsidRDefault="00F45FDB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53,000</w:t>
            </w:r>
          </w:p>
        </w:tc>
      </w:tr>
      <w:tr w:rsidR="00F45FDB" w:rsidTr="00F45FDB">
        <w:tc>
          <w:tcPr>
            <w:tcW w:w="1288" w:type="dxa"/>
          </w:tcPr>
          <w:p w:rsidR="00F45FDB" w:rsidRPr="00F45FDB" w:rsidRDefault="00F45FDB">
            <w:pPr>
              <w:rPr>
                <w:rFonts w:ascii="Arial" w:hAnsi="Arial" w:cs="Arial"/>
                <w:b/>
              </w:rPr>
            </w:pPr>
            <w:r w:rsidRPr="00F45FDB">
              <w:rPr>
                <w:rFonts w:ascii="Arial" w:hAnsi="Arial" w:cs="Arial"/>
                <w:b/>
              </w:rPr>
              <w:t>Expenditure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</w:p>
        </w:tc>
      </w:tr>
      <w:tr w:rsidR="00F45FDB" w:rsidTr="00F45FDB"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6,000</w:t>
            </w:r>
          </w:p>
        </w:tc>
      </w:tr>
      <w:tr w:rsidR="00F45FDB" w:rsidTr="00F45FDB"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Premises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4,000</w:t>
            </w:r>
          </w:p>
        </w:tc>
      </w:tr>
      <w:tr w:rsidR="00F45FDB" w:rsidTr="00F45FDB"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Advertising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</w:tr>
      <w:tr w:rsidR="00F45FDB" w:rsidTr="00F45FDB"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Motoring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1,900</w:t>
            </w:r>
          </w:p>
        </w:tc>
      </w:tr>
      <w:tr w:rsidR="00F45FDB" w:rsidTr="00F45FDB"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1,400</w:t>
            </w:r>
          </w:p>
        </w:tc>
        <w:tc>
          <w:tcPr>
            <w:tcW w:w="1288" w:type="dxa"/>
          </w:tcPr>
          <w:p w:rsidR="00F45FDB" w:rsidRDefault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1,400</w:t>
            </w:r>
          </w:p>
        </w:tc>
      </w:tr>
      <w:tr w:rsidR="00F45FDB" w:rsidTr="001E7C83"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F45FDB" w:rsidTr="001E7C83"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Sundries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F45FDB" w:rsidTr="001E7C83"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28,000</w:t>
            </w:r>
          </w:p>
        </w:tc>
      </w:tr>
      <w:tr w:rsidR="00F45FDB" w:rsidTr="001E7C83"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Drawings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</w:tr>
      <w:tr w:rsidR="00F45FDB" w:rsidTr="001E7C83"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Exp.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29,800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32,800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40,800</w:t>
            </w:r>
          </w:p>
        </w:tc>
        <w:tc>
          <w:tcPr>
            <w:tcW w:w="1288" w:type="dxa"/>
          </w:tcPr>
          <w:p w:rsidR="00F45FDB" w:rsidRPr="00F45FDB" w:rsidRDefault="00F45FDB" w:rsidP="00F45FDB">
            <w:pPr>
              <w:jc w:val="center"/>
              <w:rPr>
                <w:rFonts w:ascii="Arial" w:hAnsi="Arial" w:cs="Arial"/>
                <w:b/>
              </w:rPr>
            </w:pPr>
            <w:r w:rsidRPr="00F45FD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46,800</w:t>
            </w:r>
          </w:p>
        </w:tc>
      </w:tr>
      <w:tr w:rsidR="00F45FDB" w:rsidTr="001E7C83"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cash-flow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(9,300)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(6,800)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1,200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1,200</w:t>
            </w:r>
          </w:p>
        </w:tc>
        <w:tc>
          <w:tcPr>
            <w:tcW w:w="1288" w:type="dxa"/>
          </w:tcPr>
          <w:p w:rsidR="00F45FDB" w:rsidRPr="00F45FDB" w:rsidRDefault="00F45FDB" w:rsidP="00F45FDB">
            <w:pPr>
              <w:jc w:val="center"/>
              <w:rPr>
                <w:rFonts w:ascii="Arial" w:hAnsi="Arial" w:cs="Arial"/>
                <w:b/>
              </w:rPr>
            </w:pPr>
            <w:r w:rsidRPr="00F45FD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6,200</w:t>
            </w:r>
          </w:p>
        </w:tc>
      </w:tr>
      <w:tr w:rsidR="00F45FDB" w:rsidTr="001E7C83">
        <w:tc>
          <w:tcPr>
            <w:tcW w:w="1288" w:type="dxa"/>
          </w:tcPr>
          <w:p w:rsidR="00F45FDB" w:rsidRDefault="00F45FDB" w:rsidP="00F45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 Balance</w:t>
            </w:r>
          </w:p>
        </w:tc>
        <w:tc>
          <w:tcPr>
            <w:tcW w:w="1288" w:type="dxa"/>
          </w:tcPr>
          <w:p w:rsidR="00F45FDB" w:rsidRPr="00F45FDB" w:rsidRDefault="00F45FDB" w:rsidP="001E7C83">
            <w:pPr>
              <w:rPr>
                <w:rFonts w:ascii="Arial" w:hAnsi="Arial" w:cs="Arial"/>
                <w:b/>
              </w:rPr>
            </w:pPr>
            <w:r w:rsidRPr="00F45FDB">
              <w:rPr>
                <w:rFonts w:ascii="Arial" w:hAnsi="Arial" w:cs="Arial"/>
                <w:b/>
              </w:rPr>
              <w:t>(9,300)</w:t>
            </w:r>
          </w:p>
        </w:tc>
        <w:tc>
          <w:tcPr>
            <w:tcW w:w="1288" w:type="dxa"/>
          </w:tcPr>
          <w:p w:rsidR="00F45FDB" w:rsidRPr="00F45FDB" w:rsidRDefault="00F45FDB" w:rsidP="001E7C83">
            <w:pPr>
              <w:rPr>
                <w:rFonts w:ascii="Arial" w:hAnsi="Arial" w:cs="Arial"/>
                <w:b/>
              </w:rPr>
            </w:pPr>
            <w:r w:rsidRPr="00F45FDB">
              <w:rPr>
                <w:rFonts w:ascii="Arial" w:hAnsi="Arial" w:cs="Arial"/>
                <w:b/>
              </w:rPr>
              <w:t>(16,100)</w:t>
            </w:r>
          </w:p>
        </w:tc>
        <w:tc>
          <w:tcPr>
            <w:tcW w:w="1288" w:type="dxa"/>
          </w:tcPr>
          <w:p w:rsidR="00F45FDB" w:rsidRPr="00F45FDB" w:rsidRDefault="00F45FDB" w:rsidP="001E7C83">
            <w:pPr>
              <w:rPr>
                <w:rFonts w:ascii="Arial" w:hAnsi="Arial" w:cs="Arial"/>
                <w:b/>
              </w:rPr>
            </w:pPr>
            <w:r w:rsidRPr="00F45FDB">
              <w:rPr>
                <w:rFonts w:ascii="Arial" w:hAnsi="Arial" w:cs="Arial"/>
                <w:b/>
              </w:rPr>
              <w:t>(14,900)</w:t>
            </w:r>
          </w:p>
        </w:tc>
        <w:tc>
          <w:tcPr>
            <w:tcW w:w="1288" w:type="dxa"/>
          </w:tcPr>
          <w:p w:rsidR="00F45FDB" w:rsidRPr="00F45FDB" w:rsidRDefault="00F45FDB" w:rsidP="001E7C83">
            <w:pPr>
              <w:rPr>
                <w:rFonts w:ascii="Arial" w:hAnsi="Arial" w:cs="Arial"/>
                <w:b/>
              </w:rPr>
            </w:pPr>
            <w:r w:rsidRPr="00F45FDB">
              <w:rPr>
                <w:rFonts w:ascii="Arial" w:hAnsi="Arial" w:cs="Arial"/>
                <w:b/>
              </w:rPr>
              <w:t>(13,700)</w:t>
            </w:r>
          </w:p>
        </w:tc>
        <w:tc>
          <w:tcPr>
            <w:tcW w:w="1288" w:type="dxa"/>
          </w:tcPr>
          <w:p w:rsidR="00F45FDB" w:rsidRPr="00F45FDB" w:rsidRDefault="00F45FDB" w:rsidP="00F45FDB">
            <w:pPr>
              <w:jc w:val="center"/>
              <w:rPr>
                <w:rFonts w:ascii="Arial" w:hAnsi="Arial" w:cs="Arial"/>
                <w:b/>
              </w:rPr>
            </w:pPr>
            <w:r w:rsidRPr="00F45FDB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288" w:type="dxa"/>
          </w:tcPr>
          <w:p w:rsidR="00F45FDB" w:rsidRPr="00F45FDB" w:rsidRDefault="00F45FDB" w:rsidP="001E7C83">
            <w:pPr>
              <w:rPr>
                <w:rFonts w:ascii="Arial" w:hAnsi="Arial" w:cs="Arial"/>
                <w:b/>
              </w:rPr>
            </w:pPr>
            <w:r w:rsidRPr="00F45FDB">
              <w:rPr>
                <w:rFonts w:ascii="Arial" w:hAnsi="Arial" w:cs="Arial"/>
                <w:b/>
              </w:rPr>
              <w:t>(1,300)</w:t>
            </w:r>
          </w:p>
        </w:tc>
      </w:tr>
      <w:tr w:rsidR="00F45FDB" w:rsidTr="001E7C83"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F45FDB" w:rsidRDefault="00F45FDB" w:rsidP="001E7C83">
            <w:pPr>
              <w:rPr>
                <w:rFonts w:ascii="Arial" w:hAnsi="Arial" w:cs="Arial"/>
              </w:rPr>
            </w:pPr>
          </w:p>
        </w:tc>
      </w:tr>
    </w:tbl>
    <w:p w:rsidR="00F45FDB" w:rsidRDefault="00F45FDB">
      <w:pPr>
        <w:rPr>
          <w:rFonts w:ascii="Arial" w:hAnsi="Arial" w:cs="Arial"/>
        </w:rPr>
      </w:pPr>
    </w:p>
    <w:p w:rsidR="007A42F8" w:rsidRDefault="007A42F8">
      <w:pPr>
        <w:rPr>
          <w:rFonts w:ascii="Arial" w:hAnsi="Arial" w:cs="Arial"/>
        </w:rPr>
      </w:pPr>
      <w:r>
        <w:rPr>
          <w:rFonts w:ascii="Arial" w:hAnsi="Arial" w:cs="Arial"/>
        </w:rPr>
        <w:t>*The estimates for future sales indicated a similar level to those budgeted for in May and June, except for December were expected to fall.</w:t>
      </w:r>
    </w:p>
    <w:p w:rsidR="007A42F8" w:rsidRDefault="007A42F8">
      <w:pPr>
        <w:rPr>
          <w:rFonts w:ascii="Arial" w:hAnsi="Arial" w:cs="Arial"/>
        </w:rPr>
      </w:pPr>
    </w:p>
    <w:p w:rsidR="007A42F8" w:rsidRPr="007A42F8" w:rsidRDefault="007A42F8">
      <w:pPr>
        <w:rPr>
          <w:rFonts w:ascii="Arial" w:hAnsi="Arial" w:cs="Arial"/>
          <w:b/>
        </w:rPr>
      </w:pPr>
      <w:r w:rsidRPr="007A42F8">
        <w:rPr>
          <w:rFonts w:ascii="Arial" w:hAnsi="Arial" w:cs="Arial"/>
          <w:b/>
        </w:rPr>
        <w:t>Question 1 (7 marks)</w:t>
      </w:r>
    </w:p>
    <w:p w:rsidR="007A42F8" w:rsidRDefault="007A42F8">
      <w:pPr>
        <w:rPr>
          <w:rFonts w:ascii="Arial" w:hAnsi="Arial" w:cs="Arial"/>
        </w:rPr>
      </w:pPr>
      <w:r>
        <w:rPr>
          <w:rFonts w:ascii="Arial" w:hAnsi="Arial" w:cs="Arial"/>
        </w:rPr>
        <w:t>Give two reasons to explain why the budgeted sales for 2019 (Figure 1) may not be achieved.</w:t>
      </w:r>
    </w:p>
    <w:p w:rsidR="007A42F8" w:rsidRDefault="007A42F8">
      <w:pPr>
        <w:rPr>
          <w:rFonts w:ascii="Arial" w:hAnsi="Arial" w:cs="Arial"/>
        </w:rPr>
      </w:pPr>
    </w:p>
    <w:p w:rsidR="007A42F8" w:rsidRPr="007A42F8" w:rsidRDefault="007A42F8">
      <w:pPr>
        <w:rPr>
          <w:rFonts w:ascii="Arial" w:hAnsi="Arial" w:cs="Arial"/>
          <w:b/>
        </w:rPr>
      </w:pPr>
      <w:r w:rsidRPr="007A42F8">
        <w:rPr>
          <w:rFonts w:ascii="Arial" w:hAnsi="Arial" w:cs="Arial"/>
          <w:b/>
        </w:rPr>
        <w:t>Question 2 (2 marks)</w:t>
      </w:r>
    </w:p>
    <w:p w:rsidR="007A42F8" w:rsidRDefault="007A42F8">
      <w:pPr>
        <w:rPr>
          <w:rFonts w:ascii="Arial" w:hAnsi="Arial" w:cs="Arial"/>
        </w:rPr>
      </w:pPr>
      <w:r>
        <w:rPr>
          <w:rFonts w:ascii="Arial" w:hAnsi="Arial" w:cs="Arial"/>
        </w:rPr>
        <w:t>Calculate the missing figures at point A</w:t>
      </w:r>
      <w:proofErr w:type="gramStart"/>
      <w:r>
        <w:rPr>
          <w:rFonts w:ascii="Arial" w:hAnsi="Arial" w:cs="Arial"/>
        </w:rPr>
        <w:t>,B</w:t>
      </w:r>
      <w:proofErr w:type="gramEnd"/>
      <w:r>
        <w:rPr>
          <w:rFonts w:ascii="Arial" w:hAnsi="Arial" w:cs="Arial"/>
        </w:rPr>
        <w:t xml:space="preserve"> and C in the cash-flow forecast (Figure 3).</w:t>
      </w:r>
    </w:p>
    <w:p w:rsidR="007A42F8" w:rsidRDefault="007A42F8">
      <w:pPr>
        <w:rPr>
          <w:rFonts w:ascii="Arial" w:hAnsi="Arial" w:cs="Arial"/>
        </w:rPr>
      </w:pPr>
    </w:p>
    <w:p w:rsidR="007A42F8" w:rsidRPr="007A42F8" w:rsidRDefault="007A42F8">
      <w:pPr>
        <w:rPr>
          <w:rFonts w:ascii="Arial" w:hAnsi="Arial" w:cs="Arial"/>
          <w:b/>
        </w:rPr>
      </w:pPr>
      <w:r w:rsidRPr="007A42F8">
        <w:rPr>
          <w:rFonts w:ascii="Arial" w:hAnsi="Arial" w:cs="Arial"/>
          <w:b/>
        </w:rPr>
        <w:t>Question 3 (4 marks)</w:t>
      </w:r>
    </w:p>
    <w:p w:rsidR="007A42F8" w:rsidRDefault="007A42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Explain two limitations of cash-flow forecasting for Watch UK. </w:t>
      </w:r>
    </w:p>
    <w:p w:rsidR="007A42F8" w:rsidRPr="007A42F8" w:rsidRDefault="007A42F8">
      <w:pPr>
        <w:rPr>
          <w:rFonts w:ascii="Arial" w:hAnsi="Arial" w:cs="Arial"/>
          <w:b/>
        </w:rPr>
      </w:pPr>
      <w:r w:rsidRPr="007A42F8">
        <w:rPr>
          <w:rFonts w:ascii="Arial" w:hAnsi="Arial" w:cs="Arial"/>
          <w:b/>
        </w:rPr>
        <w:t>Question 4 (8 marks)</w:t>
      </w:r>
    </w:p>
    <w:p w:rsidR="007A42F8" w:rsidRDefault="007A42F8">
      <w:pPr>
        <w:rPr>
          <w:rFonts w:ascii="Arial" w:hAnsi="Arial" w:cs="Arial"/>
        </w:rPr>
      </w:pPr>
      <w:r>
        <w:rPr>
          <w:rFonts w:ascii="Arial" w:hAnsi="Arial" w:cs="Arial"/>
        </w:rPr>
        <w:t>Banks offer business various forms of finance.</w:t>
      </w:r>
    </w:p>
    <w:p w:rsidR="007A42F8" w:rsidRDefault="007A42F8">
      <w:pPr>
        <w:rPr>
          <w:rFonts w:ascii="Arial" w:hAnsi="Arial" w:cs="Arial"/>
        </w:rPr>
      </w:pPr>
      <w:r>
        <w:rPr>
          <w:rFonts w:ascii="Arial" w:hAnsi="Arial" w:cs="Arial"/>
        </w:rPr>
        <w:t>To what extent might an overdraft be considered better than a loan to address Watch UK’s cash-flow problems?</w:t>
      </w:r>
    </w:p>
    <w:p w:rsidR="007A42F8" w:rsidRDefault="007A42F8">
      <w:pPr>
        <w:rPr>
          <w:rFonts w:ascii="Arial" w:hAnsi="Arial" w:cs="Arial"/>
        </w:rPr>
      </w:pPr>
      <w:r>
        <w:rPr>
          <w:rFonts w:ascii="Arial" w:hAnsi="Arial" w:cs="Arial"/>
        </w:rPr>
        <w:t>(Question modelled on Edexcel Business Studies paper 2010)</w:t>
      </w:r>
    </w:p>
    <w:p w:rsidR="007A42F8" w:rsidRPr="00647E83" w:rsidRDefault="007A42F8">
      <w:pPr>
        <w:rPr>
          <w:rFonts w:ascii="Arial" w:hAnsi="Arial" w:cs="Arial"/>
        </w:rPr>
      </w:pPr>
      <w:bookmarkStart w:id="0" w:name="_GoBack"/>
      <w:bookmarkEnd w:id="0"/>
    </w:p>
    <w:sectPr w:rsidR="007A42F8" w:rsidRPr="00647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2B"/>
    <w:rsid w:val="00647E83"/>
    <w:rsid w:val="007511C7"/>
    <w:rsid w:val="007A42F8"/>
    <w:rsid w:val="00941B3B"/>
    <w:rsid w:val="00AB762B"/>
    <w:rsid w:val="00D4561B"/>
    <w:rsid w:val="00F4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A400"/>
  <w15:chartTrackingRefBased/>
  <w15:docId w15:val="{58DCFC19-A319-4898-9B8C-BC539EB5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Davies [emd31]</dc:creator>
  <cp:keywords/>
  <dc:description/>
  <cp:lastModifiedBy>Emma Davies [emd31]</cp:lastModifiedBy>
  <cp:revision>1</cp:revision>
  <cp:lastPrinted>2019-10-03T13:22:00Z</cp:lastPrinted>
  <dcterms:created xsi:type="dcterms:W3CDTF">2019-10-03T11:49:00Z</dcterms:created>
  <dcterms:modified xsi:type="dcterms:W3CDTF">2019-10-03T13:33:00Z</dcterms:modified>
</cp:coreProperties>
</file>