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92787" w14:textId="77777777" w:rsidR="00814BC5" w:rsidRDefault="00814BC5" w:rsidP="00814BC5">
      <w:pPr>
        <w:rPr>
          <w:rFonts w:ascii="Arial" w:hAnsi="Arial" w:cs="Arial"/>
          <w:sz w:val="22"/>
          <w:szCs w:val="22"/>
        </w:rPr>
      </w:pPr>
    </w:p>
    <w:p w14:paraId="04C821C7" w14:textId="717C0A23" w:rsidR="00814BC5" w:rsidRPr="00F70C8E" w:rsidRDefault="00F70C8E" w:rsidP="00814BC5">
      <w:pPr>
        <w:rPr>
          <w:rFonts w:asciiTheme="minorHAnsi" w:hAnsiTheme="minorHAnsi" w:cs="Arial"/>
          <w:b/>
          <w:bCs/>
          <w:sz w:val="32"/>
          <w:szCs w:val="32"/>
        </w:rPr>
      </w:pPr>
      <w:r w:rsidRPr="00F70C8E">
        <w:rPr>
          <w:rFonts w:asciiTheme="minorHAnsi" w:hAnsiTheme="minorHAnsi" w:cs="Arial"/>
          <w:b/>
          <w:bCs/>
          <w:sz w:val="32"/>
          <w:szCs w:val="32"/>
        </w:rPr>
        <w:t xml:space="preserve">How </w:t>
      </w:r>
      <w:r>
        <w:rPr>
          <w:rFonts w:asciiTheme="minorHAnsi" w:hAnsiTheme="minorHAnsi" w:cs="Arial"/>
          <w:b/>
          <w:bCs/>
          <w:sz w:val="32"/>
          <w:szCs w:val="32"/>
        </w:rPr>
        <w:t xml:space="preserve">DGI </w:t>
      </w:r>
      <w:r w:rsidRPr="00F70C8E">
        <w:rPr>
          <w:rFonts w:asciiTheme="minorHAnsi" w:hAnsiTheme="minorHAnsi" w:cs="Arial"/>
          <w:b/>
          <w:bCs/>
          <w:sz w:val="32"/>
          <w:szCs w:val="32"/>
        </w:rPr>
        <w:t>work with a</w:t>
      </w:r>
      <w:r w:rsidR="00814BC5" w:rsidRPr="00F70C8E">
        <w:rPr>
          <w:rFonts w:asciiTheme="minorHAnsi" w:hAnsiTheme="minorHAnsi" w:cs="Arial"/>
          <w:b/>
          <w:bCs/>
          <w:sz w:val="32"/>
          <w:szCs w:val="32"/>
        </w:rPr>
        <w:t xml:space="preserve">ccommodation </w:t>
      </w:r>
      <w:r w:rsidRPr="00F70C8E">
        <w:rPr>
          <w:rFonts w:asciiTheme="minorHAnsi" w:hAnsiTheme="minorHAnsi" w:cs="Arial"/>
          <w:b/>
          <w:bCs/>
          <w:sz w:val="32"/>
          <w:szCs w:val="32"/>
        </w:rPr>
        <w:t>p</w:t>
      </w:r>
      <w:r w:rsidR="00814BC5" w:rsidRPr="00F70C8E">
        <w:rPr>
          <w:rFonts w:asciiTheme="minorHAnsi" w:hAnsiTheme="minorHAnsi" w:cs="Arial"/>
          <w:b/>
          <w:bCs/>
          <w:sz w:val="32"/>
          <w:szCs w:val="32"/>
        </w:rPr>
        <w:t xml:space="preserve">roviders </w:t>
      </w:r>
    </w:p>
    <w:p w14:paraId="6C6EB37E" w14:textId="77777777" w:rsidR="00814BC5" w:rsidRPr="00F70C8E" w:rsidRDefault="00814BC5" w:rsidP="00814BC5">
      <w:pPr>
        <w:rPr>
          <w:rFonts w:asciiTheme="minorHAnsi" w:hAnsiTheme="minorHAnsi" w:cs="Arial"/>
          <w:sz w:val="32"/>
          <w:szCs w:val="32"/>
        </w:rPr>
      </w:pPr>
    </w:p>
    <w:p w14:paraId="017A4C42" w14:textId="0CC49401"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xml:space="preserve">DGI has access to a vast selection of over 2 million accommodation options from top providers like Expedia, HotelBeds, Teldar, Travelodge, and Premier Inn. </w:t>
      </w:r>
    </w:p>
    <w:p w14:paraId="4BCC413D" w14:textId="77777777" w:rsidR="00814BC5" w:rsidRPr="00814BC5" w:rsidRDefault="00814BC5" w:rsidP="00814BC5">
      <w:pPr>
        <w:rPr>
          <w:rFonts w:asciiTheme="minorHAnsi" w:hAnsiTheme="minorHAnsi" w:cs="Arial"/>
          <w:sz w:val="22"/>
          <w:szCs w:val="22"/>
        </w:rPr>
      </w:pPr>
    </w:p>
    <w:p w14:paraId="75EFA304"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xml:space="preserve">As part of our ISO requirements as a business, ISO9001 Quality, ISO14001 Environmental &amp; ISO27001 Information Security, we conduct (as a minimum) an annual review of our suppliers to continually assess their ability to match our requirements for them as a TMC. If any elements are found that do not meet our stringent requirements but can be worked on in collaboration with the supplier, this would necessitate a re-assessment in 3 to 6 months reviewing what steps have been taken to ensure they do now meet the requirements. Each supplier we work with has, or will have, these evaluations conducted as part of their integration and therefore if their content is in our systems and bookable that’s how we highlight these elements as having been vetted by the wider assessment of the supplier through which we purchase the inventory. These supplier assessments are based on an evaluation of them against the elements below: </w:t>
      </w:r>
    </w:p>
    <w:p w14:paraId="054DBE4D"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w:t>
      </w:r>
    </w:p>
    <w:p w14:paraId="128A4E8A"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xml:space="preserve">Contract, Data Protection Clause, DPIA [Data Protection Impact Assessment] completed if no data protection clause in contract, OFAC check [Office of Foreign Assets Control – USA], OFSI check [Office of Financial Sanctions Implementation – UK], Price, Quality, Environmental Impact, Support / Aftercare and Social &amp; Ethical Standing. </w:t>
      </w:r>
    </w:p>
    <w:p w14:paraId="5EF3D14F"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w:t>
      </w:r>
    </w:p>
    <w:p w14:paraId="4AB1A0FC"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The criteria for which are then expanded on below:</w:t>
      </w:r>
    </w:p>
    <w:p w14:paraId="1B79C2DC" w14:textId="77777777" w:rsidR="00814BC5" w:rsidRPr="00814BC5" w:rsidRDefault="00814BC5" w:rsidP="00814BC5">
      <w:pPr>
        <w:rPr>
          <w:rFonts w:asciiTheme="minorHAnsi" w:hAnsiTheme="minorHAnsi" w:cs="Arial"/>
          <w:sz w:val="22"/>
          <w:szCs w:val="22"/>
        </w:rPr>
      </w:pPr>
    </w:p>
    <w:p w14:paraId="29352733"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u w:val="single"/>
        </w:rPr>
        <w:t>Price</w:t>
      </w:r>
    </w:p>
    <w:p w14:paraId="772D889F"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Comparison against other potential suppliers</w:t>
      </w:r>
    </w:p>
    <w:p w14:paraId="28DF2556"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No additional costs outside of the agreed contract</w:t>
      </w:r>
    </w:p>
    <w:p w14:paraId="13A82B89"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 </w:t>
      </w:r>
    </w:p>
    <w:p w14:paraId="359AF1B3"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u w:val="single"/>
        </w:rPr>
        <w:t>Quality</w:t>
      </w:r>
    </w:p>
    <w:p w14:paraId="14372C15"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Complaints received from operations and customer service teams</w:t>
      </w:r>
    </w:p>
    <w:p w14:paraId="23A2E31E"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Willingness to work with technical teams to improve product offering</w:t>
      </w:r>
    </w:p>
    <w:p w14:paraId="3AEFC64C"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 </w:t>
      </w:r>
    </w:p>
    <w:p w14:paraId="1B9727A1"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u w:val="single"/>
        </w:rPr>
        <w:t>Environmental Impact</w:t>
      </w:r>
    </w:p>
    <w:p w14:paraId="10D8130C"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 xml:space="preserve">A developed sustainability programme and net zero pledges in place </w:t>
      </w:r>
    </w:p>
    <w:p w14:paraId="4C5F78BE"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Working on sustainable initiatives such as offering “green hotels” or “green transfer/coach programmes”</w:t>
      </w:r>
    </w:p>
    <w:p w14:paraId="05A7F282"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 </w:t>
      </w:r>
    </w:p>
    <w:p w14:paraId="170F24C5"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u w:val="single"/>
        </w:rPr>
        <w:t>Support/Aftercare</w:t>
      </w:r>
    </w:p>
    <w:p w14:paraId="3B024E3E"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Effective access to support when required</w:t>
      </w:r>
    </w:p>
    <w:p w14:paraId="62806E99"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Account Management</w:t>
      </w:r>
    </w:p>
    <w:p w14:paraId="741FC7C2"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 xml:space="preserve">Timely response to complaints </w:t>
      </w:r>
    </w:p>
    <w:p w14:paraId="023F5810"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 </w:t>
      </w:r>
    </w:p>
    <w:p w14:paraId="53221795"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u w:val="single"/>
        </w:rPr>
        <w:t>Social and Ethical Standing</w:t>
      </w:r>
    </w:p>
    <w:p w14:paraId="5DEF8AB1"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A clear anti-slavery statement</w:t>
      </w:r>
    </w:p>
    <w:p w14:paraId="49A897CB" w14:textId="77777777" w:rsidR="00814BC5" w:rsidRPr="00814BC5" w:rsidRDefault="00814BC5" w:rsidP="00814BC5">
      <w:pPr>
        <w:pStyle w:val="xxmsonormal"/>
        <w:rPr>
          <w:rFonts w:asciiTheme="minorHAnsi" w:hAnsiTheme="minorHAnsi" w:cs="Arial"/>
          <w:sz w:val="22"/>
          <w:szCs w:val="22"/>
        </w:rPr>
      </w:pPr>
      <w:r w:rsidRPr="00814BC5">
        <w:rPr>
          <w:rFonts w:asciiTheme="minorHAnsi" w:hAnsiTheme="minorHAnsi" w:cs="Arial"/>
          <w:sz w:val="22"/>
          <w:szCs w:val="22"/>
        </w:rPr>
        <w:t>Health &amp; Safety protocols in place</w:t>
      </w:r>
    </w:p>
    <w:p w14:paraId="63D42B5F" w14:textId="77777777" w:rsidR="00814BC5" w:rsidRPr="00814BC5" w:rsidRDefault="00814BC5" w:rsidP="00814BC5">
      <w:pPr>
        <w:pStyle w:val="xxmsonormal"/>
        <w:shd w:val="clear" w:color="auto" w:fill="FFFFFF"/>
        <w:rPr>
          <w:rFonts w:asciiTheme="minorHAnsi" w:hAnsiTheme="minorHAnsi" w:cs="Arial"/>
          <w:sz w:val="22"/>
          <w:szCs w:val="22"/>
        </w:rPr>
      </w:pPr>
      <w:r w:rsidRPr="00814BC5">
        <w:rPr>
          <w:rFonts w:asciiTheme="minorHAnsi" w:hAnsiTheme="minorHAnsi" w:cs="Arial"/>
          <w:color w:val="000000"/>
          <w:sz w:val="22"/>
          <w:szCs w:val="22"/>
        </w:rPr>
        <w:t>Complying with statutory obligations</w:t>
      </w:r>
    </w:p>
    <w:p w14:paraId="5D90D98A" w14:textId="77777777" w:rsidR="00814BC5" w:rsidRDefault="00814BC5" w:rsidP="00814BC5">
      <w:pPr>
        <w:rPr>
          <w:rFonts w:asciiTheme="minorHAnsi" w:hAnsiTheme="minorHAnsi" w:cs="Arial"/>
          <w:sz w:val="22"/>
          <w:szCs w:val="22"/>
        </w:rPr>
      </w:pPr>
      <w:r w:rsidRPr="00814BC5">
        <w:rPr>
          <w:rFonts w:asciiTheme="minorHAnsi" w:hAnsiTheme="minorHAnsi" w:cs="Arial"/>
          <w:sz w:val="22"/>
          <w:szCs w:val="22"/>
        </w:rPr>
        <w:t> </w:t>
      </w:r>
    </w:p>
    <w:p w14:paraId="013840A7" w14:textId="77777777" w:rsidR="00814BC5" w:rsidRDefault="00814BC5" w:rsidP="00814BC5">
      <w:pPr>
        <w:rPr>
          <w:rFonts w:asciiTheme="minorHAnsi" w:hAnsiTheme="minorHAnsi" w:cs="Arial"/>
          <w:sz w:val="22"/>
          <w:szCs w:val="22"/>
        </w:rPr>
      </w:pPr>
    </w:p>
    <w:p w14:paraId="4B2F6D3F" w14:textId="77777777" w:rsidR="00814BC5" w:rsidRDefault="00814BC5" w:rsidP="00814BC5">
      <w:pPr>
        <w:rPr>
          <w:rFonts w:asciiTheme="minorHAnsi" w:hAnsiTheme="minorHAnsi" w:cs="Arial"/>
          <w:sz w:val="22"/>
          <w:szCs w:val="22"/>
        </w:rPr>
      </w:pPr>
    </w:p>
    <w:p w14:paraId="21C4D34B" w14:textId="77777777" w:rsidR="00814BC5" w:rsidRDefault="00814BC5" w:rsidP="00814BC5">
      <w:pPr>
        <w:rPr>
          <w:rFonts w:asciiTheme="minorHAnsi" w:hAnsiTheme="minorHAnsi" w:cs="Arial"/>
          <w:sz w:val="22"/>
          <w:szCs w:val="22"/>
        </w:rPr>
      </w:pPr>
    </w:p>
    <w:p w14:paraId="4429BF15" w14:textId="77777777" w:rsidR="00814BC5" w:rsidRDefault="00814BC5" w:rsidP="00814BC5">
      <w:pPr>
        <w:rPr>
          <w:rFonts w:asciiTheme="minorHAnsi" w:hAnsiTheme="minorHAnsi" w:cs="Arial"/>
          <w:sz w:val="22"/>
          <w:szCs w:val="22"/>
        </w:rPr>
      </w:pPr>
    </w:p>
    <w:p w14:paraId="2633B70C" w14:textId="77777777" w:rsidR="00814BC5" w:rsidRPr="00814BC5" w:rsidRDefault="00814BC5" w:rsidP="00814BC5">
      <w:pPr>
        <w:rPr>
          <w:rFonts w:asciiTheme="minorHAnsi" w:hAnsiTheme="minorHAnsi" w:cs="Arial"/>
          <w:sz w:val="22"/>
          <w:szCs w:val="22"/>
        </w:rPr>
      </w:pPr>
    </w:p>
    <w:p w14:paraId="41562BBA" w14:textId="77777777" w:rsidR="00814BC5" w:rsidRPr="00814BC5" w:rsidRDefault="00814BC5" w:rsidP="00814BC5">
      <w:pPr>
        <w:rPr>
          <w:rFonts w:asciiTheme="minorHAnsi" w:hAnsiTheme="minorHAnsi" w:cs="Arial"/>
          <w:sz w:val="22"/>
          <w:szCs w:val="22"/>
        </w:rPr>
      </w:pPr>
    </w:p>
    <w:p w14:paraId="21D8684C"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Through working in partnership with supplier providers who share our commitment to clients and communities, we aim to ensure that all partners in our portfolio comply with locally recognised health and safety standards and that checks are carried out on these units to ensure they are maintained and managed in a safe way.</w:t>
      </w:r>
    </w:p>
    <w:p w14:paraId="0625EA67" w14:textId="77777777" w:rsidR="00814BC5" w:rsidRPr="00814BC5" w:rsidRDefault="00814BC5" w:rsidP="00814BC5">
      <w:pPr>
        <w:rPr>
          <w:rFonts w:asciiTheme="minorHAnsi" w:hAnsiTheme="minorHAnsi" w:cs="Arial"/>
          <w:sz w:val="22"/>
          <w:szCs w:val="22"/>
        </w:rPr>
      </w:pPr>
    </w:p>
    <w:p w14:paraId="779E2D22"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In achieving the above statement of intent, DGI and its suppliers will pay particular attention to the following:</w:t>
      </w:r>
    </w:p>
    <w:p w14:paraId="0A3668A4" w14:textId="0C1589A0"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xml:space="preserve">· </w:t>
      </w:r>
      <w:r w:rsidR="003C0396">
        <w:rPr>
          <w:rFonts w:asciiTheme="minorHAnsi" w:hAnsiTheme="minorHAnsi" w:cs="Arial"/>
          <w:sz w:val="22"/>
          <w:szCs w:val="22"/>
        </w:rPr>
        <w:t>U</w:t>
      </w:r>
      <w:r w:rsidRPr="00814BC5">
        <w:rPr>
          <w:rFonts w:asciiTheme="minorHAnsi" w:hAnsiTheme="minorHAnsi" w:cs="Arial"/>
          <w:sz w:val="22"/>
          <w:szCs w:val="22"/>
        </w:rPr>
        <w:t>sing our best endeavours to ensure that suppliers are responsible for providing facilities that are safe and comply with all local laws regarding health and safety, fire safety and good hygiene practices;</w:t>
      </w:r>
    </w:p>
    <w:p w14:paraId="645915A5"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Where deficiencies in safety standards are discovered, our suppliers will work with the provider to rectify the issues;</w:t>
      </w:r>
    </w:p>
    <w:p w14:paraId="48A05260"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Where warranted the provider will be taken off sale until the outstanding issues are resolved;</w:t>
      </w:r>
    </w:p>
    <w:p w14:paraId="49851B3E"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To assist in the implementation of this Health and Safety policy, our suppliers will utilise internal and external resources as well as work with DGI and accommodation providers to ensure a proactive solution to safety concerns.</w:t>
      </w:r>
    </w:p>
    <w:p w14:paraId="127308B8" w14:textId="77777777" w:rsidR="00814BC5" w:rsidRPr="00814BC5" w:rsidRDefault="00814BC5" w:rsidP="00814BC5">
      <w:pPr>
        <w:rPr>
          <w:rFonts w:asciiTheme="minorHAnsi" w:hAnsiTheme="minorHAnsi" w:cs="Arial"/>
          <w:sz w:val="22"/>
          <w:szCs w:val="22"/>
        </w:rPr>
      </w:pPr>
    </w:p>
    <w:p w14:paraId="62224399"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Our accommodation providers have public and products liability insurance in conjunction with their work for tour-operators and/or travel agents and it is important to note that all of the accommodation providers we work with are monitored and bound by local regulatory bodies and legally obliged to provide a duty of care to their, and therefore our, travellers. Furthermore, DGI’s membership and participation in the BTA (the representative body for Travel Management Companies and the business travel community in the UK) and the ANVR (equivalent organisation in the Netherlands) means we play a leading role in monitoring and advising on the development of consistent air, accommodation &amp; ground booking procedures and standards within the air, accommodation &amp; ground industries worldwide.</w:t>
      </w:r>
    </w:p>
    <w:p w14:paraId="57882CBB"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w:t>
      </w:r>
    </w:p>
    <w:p w14:paraId="1E28EE35"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The work and exchange with our suppliers is based on them removing products from sale that do not meet the standards they set when they come to re-audit them and if we encounter any issues or have concerns raised by any of our guests, we blacklist the property our side and feed the experience back to the supplier for them to look into. The results of this will then either be a removal of said property from their feed or they will put in a plan with the property, whilst it remains off-sale to us and then approach us with what corrective action has been taken to determine if we push them back live into our booking systems or not.</w:t>
      </w:r>
    </w:p>
    <w:p w14:paraId="23472CCA" w14:textId="77777777" w:rsidR="00814BC5" w:rsidRPr="00814BC5" w:rsidRDefault="00814BC5" w:rsidP="00814BC5">
      <w:pPr>
        <w:rPr>
          <w:rFonts w:asciiTheme="minorHAnsi" w:hAnsiTheme="minorHAnsi" w:cs="Arial"/>
          <w:sz w:val="22"/>
          <w:szCs w:val="22"/>
        </w:rPr>
      </w:pPr>
    </w:p>
    <w:p w14:paraId="7C8E0A6F"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Our bedbank suppliers aim to have their accommodation re-audited to on-site accommodation audit standard at least every five years. They expect all contracted partners to meet regional and national safety requirements. The information gathered through the audit will help ensure the safety of our guests and it forms an important part of our suppliers’ Health &amp; Safety Programme and part of their standard Health &amp; Safety policy. </w:t>
      </w:r>
    </w:p>
    <w:p w14:paraId="70334858" w14:textId="77777777" w:rsidR="00814BC5" w:rsidRPr="00814BC5" w:rsidRDefault="00814BC5" w:rsidP="00814BC5">
      <w:pPr>
        <w:rPr>
          <w:rFonts w:asciiTheme="minorHAnsi" w:hAnsiTheme="minorHAnsi" w:cs="Arial"/>
          <w:sz w:val="22"/>
          <w:szCs w:val="22"/>
        </w:rPr>
      </w:pPr>
    </w:p>
    <w:p w14:paraId="7A6B5A44"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Elements that are considered include, but are not limited to:</w:t>
      </w:r>
    </w:p>
    <w:p w14:paraId="0372DE1D" w14:textId="77777777" w:rsidR="00814BC5" w:rsidRPr="00814BC5" w:rsidRDefault="00814BC5" w:rsidP="00814BC5">
      <w:pPr>
        <w:rPr>
          <w:rFonts w:asciiTheme="minorHAnsi" w:hAnsiTheme="minorHAnsi" w:cs="Arial"/>
          <w:sz w:val="22"/>
          <w:szCs w:val="22"/>
        </w:rPr>
      </w:pPr>
    </w:p>
    <w:p w14:paraId="68BFB84D"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Fire extinguishers</w:t>
      </w:r>
    </w:p>
    <w:p w14:paraId="1E0E63E7"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Fire exits &amp; lighting</w:t>
      </w:r>
    </w:p>
    <w:p w14:paraId="291B470C"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Fire doors</w:t>
      </w:r>
    </w:p>
    <w:p w14:paraId="16815EB2"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 xml:space="preserve">Fire alarms/bells both inside and outside </w:t>
      </w:r>
    </w:p>
    <w:p w14:paraId="7C1A8324"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Fire retardant soft furnishings used</w:t>
      </w:r>
    </w:p>
    <w:p w14:paraId="2025E9ED" w14:textId="77777777" w:rsid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Presence of smoke and CO2 detectors</w:t>
      </w:r>
    </w:p>
    <w:p w14:paraId="4C8AAF35" w14:textId="77777777" w:rsidR="00814BC5" w:rsidRDefault="00814BC5" w:rsidP="00814BC5">
      <w:pPr>
        <w:rPr>
          <w:rFonts w:asciiTheme="minorHAnsi" w:eastAsia="Times New Roman" w:hAnsiTheme="minorHAnsi" w:cs="Arial"/>
          <w:sz w:val="22"/>
          <w:szCs w:val="22"/>
        </w:rPr>
      </w:pPr>
    </w:p>
    <w:p w14:paraId="13DF5B84" w14:textId="77777777" w:rsidR="00814BC5" w:rsidRPr="00814BC5" w:rsidRDefault="00814BC5" w:rsidP="00814BC5">
      <w:pPr>
        <w:rPr>
          <w:rFonts w:asciiTheme="minorHAnsi" w:eastAsia="Times New Roman" w:hAnsiTheme="minorHAnsi" w:cs="Arial"/>
          <w:sz w:val="22"/>
          <w:szCs w:val="22"/>
        </w:rPr>
      </w:pPr>
    </w:p>
    <w:p w14:paraId="698BE7A9"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DDA (Disability Discrimination Act) compliance</w:t>
      </w:r>
    </w:p>
    <w:p w14:paraId="374331EF"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 xml:space="preserve">Appliances regularly serviced </w:t>
      </w:r>
    </w:p>
    <w:p w14:paraId="27DF7B1D" w14:textId="77777777" w:rsidR="00814BC5" w:rsidRPr="00814BC5" w:rsidRDefault="00814BC5" w:rsidP="00814BC5">
      <w:pPr>
        <w:numPr>
          <w:ilvl w:val="0"/>
          <w:numId w:val="1"/>
        </w:numPr>
        <w:rPr>
          <w:rFonts w:asciiTheme="minorHAnsi" w:eastAsia="Times New Roman" w:hAnsiTheme="minorHAnsi" w:cs="Arial"/>
          <w:sz w:val="22"/>
          <w:szCs w:val="22"/>
        </w:rPr>
      </w:pPr>
      <w:r w:rsidRPr="00814BC5">
        <w:rPr>
          <w:rFonts w:asciiTheme="minorHAnsi" w:eastAsia="Times New Roman" w:hAnsiTheme="minorHAnsi" w:cs="Arial"/>
          <w:sz w:val="22"/>
          <w:szCs w:val="22"/>
        </w:rPr>
        <w:t>Electricity and Gas regulations met</w:t>
      </w:r>
    </w:p>
    <w:p w14:paraId="4382C07B" w14:textId="77777777" w:rsidR="00814BC5" w:rsidRPr="00814BC5" w:rsidRDefault="00814BC5" w:rsidP="00814BC5">
      <w:pPr>
        <w:rPr>
          <w:rFonts w:asciiTheme="minorHAnsi" w:hAnsiTheme="minorHAnsi" w:cs="Arial"/>
          <w:sz w:val="22"/>
          <w:szCs w:val="22"/>
        </w:rPr>
      </w:pPr>
    </w:p>
    <w:p w14:paraId="0A1F0A53" w14:textId="77777777" w:rsidR="00814BC5" w:rsidRPr="00814BC5" w:rsidRDefault="00814BC5" w:rsidP="00814BC5">
      <w:pPr>
        <w:rPr>
          <w:rFonts w:asciiTheme="minorHAnsi" w:hAnsiTheme="minorHAnsi" w:cs="Arial"/>
          <w:sz w:val="22"/>
          <w:szCs w:val="22"/>
          <w14:ligatures w14:val="none"/>
        </w:rPr>
      </w:pPr>
      <w:r w:rsidRPr="00814BC5">
        <w:rPr>
          <w:rFonts w:asciiTheme="minorHAnsi" w:hAnsiTheme="minorHAnsi" w:cs="Arial"/>
          <w:sz w:val="22"/>
          <w:szCs w:val="22"/>
        </w:rPr>
        <w:t>Our suppliers are committed to helping ensure customer safety, and this includes being able to assess the properties they work with as part of the contract they have with them. After the audit, the property receives a recommendation report detailing all potential safety improvements identified during the audit, where implementation of said recommendations can lead to improvements in the grade and help the property manage their internal Health &amp; Safety Programme.</w:t>
      </w:r>
    </w:p>
    <w:p w14:paraId="63DBCB3F" w14:textId="77777777" w:rsidR="00814BC5" w:rsidRPr="00814BC5" w:rsidRDefault="00814BC5" w:rsidP="00814BC5">
      <w:pPr>
        <w:rPr>
          <w:rFonts w:asciiTheme="minorHAnsi" w:hAnsiTheme="minorHAnsi" w:cs="Arial"/>
          <w:sz w:val="22"/>
          <w:szCs w:val="22"/>
        </w:rPr>
      </w:pPr>
    </w:p>
    <w:p w14:paraId="02111977"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xml:space="preserve">Some of the recommendations might be harder to implement due to timing or budget, but if any fall below the minimum threshold required to meet local laws and standards, then that property will not be offered via their feed, not therefore be available for us to sell. </w:t>
      </w:r>
    </w:p>
    <w:p w14:paraId="650A9B15" w14:textId="77777777" w:rsidR="00814BC5" w:rsidRPr="00814BC5" w:rsidRDefault="00814BC5" w:rsidP="00814BC5">
      <w:pPr>
        <w:rPr>
          <w:rFonts w:asciiTheme="minorHAnsi" w:hAnsiTheme="minorHAnsi" w:cs="Arial"/>
          <w:sz w:val="22"/>
          <w:szCs w:val="22"/>
        </w:rPr>
      </w:pPr>
    </w:p>
    <w:p w14:paraId="62EC5EF4" w14:textId="77777777" w:rsidR="00814BC5" w:rsidRPr="00814BC5" w:rsidRDefault="00814BC5" w:rsidP="00814BC5">
      <w:pPr>
        <w:rPr>
          <w:rFonts w:asciiTheme="minorHAnsi" w:hAnsiTheme="minorHAnsi" w:cs="Arial"/>
          <w:sz w:val="22"/>
          <w:szCs w:val="22"/>
          <w:lang w:eastAsia="en-GB"/>
        </w:rPr>
      </w:pPr>
      <w:r w:rsidRPr="00814BC5">
        <w:rPr>
          <w:rFonts w:asciiTheme="minorHAnsi" w:hAnsiTheme="minorHAnsi" w:cs="Arial"/>
          <w:sz w:val="22"/>
          <w:szCs w:val="22"/>
        </w:rPr>
        <w:t xml:space="preserve">Although we cannot self-audit 2 million+ hotels, in working with the bedbanks we have chosen to partner with, we help feed into a wider health &amp; safety ecosystem of all those TMCs and Tour Operators using Expedia for example, ensuring, to the best of our ability, that the accommodation content we offer is as robust an offering as possible. </w:t>
      </w:r>
    </w:p>
    <w:p w14:paraId="21039DD2" w14:textId="77777777" w:rsidR="00814BC5" w:rsidRPr="00814BC5" w:rsidRDefault="00814BC5" w:rsidP="00814BC5">
      <w:pPr>
        <w:ind w:left="96"/>
        <w:rPr>
          <w:rFonts w:asciiTheme="minorHAnsi" w:hAnsiTheme="minorHAnsi" w:cs="Arial"/>
          <w:sz w:val="22"/>
          <w:szCs w:val="22"/>
        </w:rPr>
      </w:pPr>
    </w:p>
    <w:p w14:paraId="22CA3956"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The endeavours above must also be balanced with travellers taking the steps below in the event of any unsatisfactory accommodation, and this then helps form part of DGI’s duty of care responsibilities:</w:t>
      </w:r>
    </w:p>
    <w:p w14:paraId="43066CFC"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 </w:t>
      </w:r>
    </w:p>
    <w:p w14:paraId="688FEA18" w14:textId="77777777" w:rsidR="00814BC5" w:rsidRPr="00814BC5" w:rsidRDefault="00814BC5" w:rsidP="00814BC5">
      <w:pPr>
        <w:pStyle w:val="ListParagraph"/>
        <w:numPr>
          <w:ilvl w:val="0"/>
          <w:numId w:val="2"/>
        </w:numPr>
        <w:contextualSpacing w:val="0"/>
        <w:rPr>
          <w:rFonts w:asciiTheme="minorHAnsi" w:hAnsiTheme="minorHAnsi" w:cs="Arial"/>
          <w:sz w:val="22"/>
          <w:szCs w:val="22"/>
        </w:rPr>
      </w:pPr>
      <w:r w:rsidRPr="00814BC5">
        <w:rPr>
          <w:rFonts w:asciiTheme="minorHAnsi" w:hAnsiTheme="minorHAnsi" w:cs="Arial"/>
          <w:sz w:val="22"/>
          <w:szCs w:val="22"/>
        </w:rPr>
        <w:t>Contact the DGI Out of Hours number (where applicable) – number is on the hotel voucher – 0161 884 5395</w:t>
      </w:r>
    </w:p>
    <w:p w14:paraId="74147FCB" w14:textId="77777777" w:rsidR="00814BC5" w:rsidRPr="00814BC5" w:rsidRDefault="00814BC5" w:rsidP="00814BC5">
      <w:pPr>
        <w:pStyle w:val="ListParagraph"/>
        <w:numPr>
          <w:ilvl w:val="0"/>
          <w:numId w:val="2"/>
        </w:numPr>
        <w:contextualSpacing w:val="0"/>
        <w:rPr>
          <w:rFonts w:asciiTheme="minorHAnsi" w:hAnsiTheme="minorHAnsi" w:cs="Arial"/>
          <w:sz w:val="22"/>
          <w:szCs w:val="22"/>
        </w:rPr>
      </w:pPr>
      <w:r w:rsidRPr="00814BC5">
        <w:rPr>
          <w:rFonts w:asciiTheme="minorHAnsi" w:hAnsiTheme="minorHAnsi" w:cs="Arial"/>
          <w:sz w:val="22"/>
          <w:szCs w:val="22"/>
        </w:rPr>
        <w:t>Ensure the guest makes a complaint to the hotel locally and whether anything was agreed and by whom?</w:t>
      </w:r>
    </w:p>
    <w:p w14:paraId="51779039" w14:textId="77777777" w:rsidR="00814BC5" w:rsidRPr="00814BC5" w:rsidRDefault="00814BC5" w:rsidP="00814BC5">
      <w:pPr>
        <w:pStyle w:val="ListParagraph"/>
        <w:numPr>
          <w:ilvl w:val="0"/>
          <w:numId w:val="2"/>
        </w:numPr>
        <w:contextualSpacing w:val="0"/>
        <w:rPr>
          <w:rFonts w:asciiTheme="minorHAnsi" w:hAnsiTheme="minorHAnsi" w:cs="Arial"/>
          <w:sz w:val="22"/>
          <w:szCs w:val="22"/>
        </w:rPr>
      </w:pPr>
      <w:r w:rsidRPr="00814BC5">
        <w:rPr>
          <w:rFonts w:asciiTheme="minorHAnsi" w:hAnsiTheme="minorHAnsi" w:cs="Arial"/>
          <w:sz w:val="22"/>
          <w:szCs w:val="22"/>
        </w:rPr>
        <w:t>Take any pictures to substantiate a claim</w:t>
      </w:r>
    </w:p>
    <w:p w14:paraId="72E4AFBF" w14:textId="77777777" w:rsidR="00814BC5" w:rsidRPr="00814BC5" w:rsidRDefault="00814BC5" w:rsidP="00814BC5">
      <w:pPr>
        <w:pStyle w:val="ListParagraph"/>
        <w:numPr>
          <w:ilvl w:val="0"/>
          <w:numId w:val="2"/>
        </w:numPr>
        <w:contextualSpacing w:val="0"/>
        <w:rPr>
          <w:rFonts w:asciiTheme="minorHAnsi" w:hAnsiTheme="minorHAnsi" w:cs="Arial"/>
          <w:sz w:val="22"/>
          <w:szCs w:val="22"/>
        </w:rPr>
      </w:pPr>
      <w:r w:rsidRPr="00814BC5">
        <w:rPr>
          <w:rFonts w:asciiTheme="minorHAnsi" w:hAnsiTheme="minorHAnsi" w:cs="Arial"/>
          <w:sz w:val="22"/>
          <w:szCs w:val="22"/>
        </w:rPr>
        <w:t>Provide any receipts for any out-of-pocket expenses</w:t>
      </w:r>
    </w:p>
    <w:p w14:paraId="4A3738CF" w14:textId="77777777" w:rsidR="00814BC5" w:rsidRPr="00814BC5" w:rsidRDefault="00814BC5" w:rsidP="00814BC5">
      <w:pPr>
        <w:rPr>
          <w:rFonts w:asciiTheme="minorHAnsi" w:hAnsiTheme="minorHAnsi" w:cs="Arial"/>
          <w:sz w:val="22"/>
          <w:szCs w:val="22"/>
        </w:rPr>
      </w:pPr>
    </w:p>
    <w:p w14:paraId="438B31F1" w14:textId="77777777" w:rsidR="00814BC5" w:rsidRPr="00814BC5" w:rsidRDefault="00814BC5" w:rsidP="00814BC5">
      <w:pPr>
        <w:rPr>
          <w:rFonts w:asciiTheme="minorHAnsi" w:hAnsiTheme="minorHAnsi" w:cs="Arial"/>
          <w:sz w:val="22"/>
          <w:szCs w:val="22"/>
        </w:rPr>
      </w:pPr>
      <w:r w:rsidRPr="00814BC5">
        <w:rPr>
          <w:rFonts w:asciiTheme="minorHAnsi" w:hAnsiTheme="minorHAnsi" w:cs="Arial"/>
          <w:sz w:val="22"/>
          <w:szCs w:val="22"/>
        </w:rPr>
        <w:t>Whilst we would hope any dissatisfaction might not occur, we want travellers to be well prepared should anything crop up unexpectedly and help them deal with it there and then, whilst ensuring we are minimising costs to your traveller and business at the same time. Should an issue arise with a property, as previously mentioned, this would be fed back to the supplier for them to action, but also immediately blocklisted our side whilst any investigation took place.</w:t>
      </w:r>
    </w:p>
    <w:p w14:paraId="00A7CC96" w14:textId="77777777" w:rsidR="00DD36A2" w:rsidRPr="00814BC5" w:rsidRDefault="00DD36A2" w:rsidP="00814BC5">
      <w:pPr>
        <w:rPr>
          <w:rFonts w:asciiTheme="minorHAnsi" w:hAnsiTheme="minorHAnsi"/>
          <w:sz w:val="22"/>
          <w:szCs w:val="22"/>
        </w:rPr>
      </w:pPr>
    </w:p>
    <w:sectPr w:rsidR="00DD36A2" w:rsidRPr="00814BC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2C5EC" w14:textId="77777777" w:rsidR="006439AB" w:rsidRDefault="006439AB" w:rsidP="00814BC5">
      <w:r>
        <w:separator/>
      </w:r>
    </w:p>
  </w:endnote>
  <w:endnote w:type="continuationSeparator" w:id="0">
    <w:p w14:paraId="3571864E" w14:textId="77777777" w:rsidR="006439AB" w:rsidRDefault="006439AB" w:rsidP="0081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09D6" w14:textId="11EBBA9B" w:rsidR="00814BC5" w:rsidRPr="00814BC5" w:rsidRDefault="00814BC5">
    <w:pPr>
      <w:pStyle w:val="Footer"/>
      <w:rPr>
        <w:color w:val="595959" w:themeColor="text1" w:themeTint="A6"/>
        <w:sz w:val="20"/>
        <w:szCs w:val="20"/>
      </w:rPr>
    </w:pPr>
    <w:r>
      <w:tab/>
    </w:r>
    <w:sdt>
      <w:sdtPr>
        <w:rPr>
          <w:color w:val="595959" w:themeColor="text1" w:themeTint="A6"/>
          <w:sz w:val="20"/>
          <w:szCs w:val="20"/>
        </w:rPr>
        <w:id w:val="-1558547445"/>
        <w:docPartObj>
          <w:docPartGallery w:val="Page Numbers (Bottom of Page)"/>
          <w:docPartUnique/>
        </w:docPartObj>
      </w:sdtPr>
      <w:sdtEndPr/>
      <w:sdtContent>
        <w:sdt>
          <w:sdtPr>
            <w:rPr>
              <w:color w:val="595959" w:themeColor="text1" w:themeTint="A6"/>
              <w:sz w:val="20"/>
              <w:szCs w:val="20"/>
            </w:rPr>
            <w:id w:val="-1705238520"/>
            <w:docPartObj>
              <w:docPartGallery w:val="Page Numbers (Top of Page)"/>
              <w:docPartUnique/>
            </w:docPartObj>
          </w:sdtPr>
          <w:sdtEndPr/>
          <w:sdtContent>
            <w:r w:rsidRPr="00814BC5">
              <w:rPr>
                <w:color w:val="595959" w:themeColor="text1" w:themeTint="A6"/>
                <w:sz w:val="20"/>
                <w:szCs w:val="20"/>
              </w:rPr>
              <w:t xml:space="preserve">Page </w:t>
            </w:r>
            <w:r w:rsidRPr="00814BC5">
              <w:rPr>
                <w:b/>
                <w:bCs/>
                <w:color w:val="595959" w:themeColor="text1" w:themeTint="A6"/>
                <w:sz w:val="20"/>
                <w:szCs w:val="20"/>
              </w:rPr>
              <w:fldChar w:fldCharType="begin"/>
            </w:r>
            <w:r w:rsidRPr="00814BC5">
              <w:rPr>
                <w:b/>
                <w:bCs/>
                <w:color w:val="595959" w:themeColor="text1" w:themeTint="A6"/>
                <w:sz w:val="20"/>
                <w:szCs w:val="20"/>
              </w:rPr>
              <w:instrText xml:space="preserve"> PAGE </w:instrText>
            </w:r>
            <w:r w:rsidRPr="00814BC5">
              <w:rPr>
                <w:b/>
                <w:bCs/>
                <w:color w:val="595959" w:themeColor="text1" w:themeTint="A6"/>
                <w:sz w:val="20"/>
                <w:szCs w:val="20"/>
              </w:rPr>
              <w:fldChar w:fldCharType="separate"/>
            </w:r>
            <w:r w:rsidRPr="00814BC5">
              <w:rPr>
                <w:b/>
                <w:bCs/>
                <w:noProof/>
                <w:color w:val="595959" w:themeColor="text1" w:themeTint="A6"/>
                <w:sz w:val="20"/>
                <w:szCs w:val="20"/>
              </w:rPr>
              <w:t>2</w:t>
            </w:r>
            <w:r w:rsidRPr="00814BC5">
              <w:rPr>
                <w:b/>
                <w:bCs/>
                <w:color w:val="595959" w:themeColor="text1" w:themeTint="A6"/>
                <w:sz w:val="20"/>
                <w:szCs w:val="20"/>
              </w:rPr>
              <w:fldChar w:fldCharType="end"/>
            </w:r>
            <w:r w:rsidRPr="00814BC5">
              <w:rPr>
                <w:color w:val="595959" w:themeColor="text1" w:themeTint="A6"/>
                <w:sz w:val="20"/>
                <w:szCs w:val="20"/>
              </w:rPr>
              <w:t xml:space="preserve"> of </w:t>
            </w:r>
            <w:r w:rsidRPr="00814BC5">
              <w:rPr>
                <w:b/>
                <w:bCs/>
                <w:color w:val="595959" w:themeColor="text1" w:themeTint="A6"/>
                <w:sz w:val="20"/>
                <w:szCs w:val="20"/>
              </w:rPr>
              <w:fldChar w:fldCharType="begin"/>
            </w:r>
            <w:r w:rsidRPr="00814BC5">
              <w:rPr>
                <w:b/>
                <w:bCs/>
                <w:color w:val="595959" w:themeColor="text1" w:themeTint="A6"/>
                <w:sz w:val="20"/>
                <w:szCs w:val="20"/>
              </w:rPr>
              <w:instrText xml:space="preserve"> NUMPAGES  </w:instrText>
            </w:r>
            <w:r w:rsidRPr="00814BC5">
              <w:rPr>
                <w:b/>
                <w:bCs/>
                <w:color w:val="595959" w:themeColor="text1" w:themeTint="A6"/>
                <w:sz w:val="20"/>
                <w:szCs w:val="20"/>
              </w:rPr>
              <w:fldChar w:fldCharType="separate"/>
            </w:r>
            <w:r w:rsidRPr="00814BC5">
              <w:rPr>
                <w:b/>
                <w:bCs/>
                <w:noProof/>
                <w:color w:val="595959" w:themeColor="text1" w:themeTint="A6"/>
                <w:sz w:val="20"/>
                <w:szCs w:val="20"/>
              </w:rPr>
              <w:t>2</w:t>
            </w:r>
            <w:r w:rsidRPr="00814BC5">
              <w:rPr>
                <w:b/>
                <w:bCs/>
                <w:color w:val="595959" w:themeColor="text1" w:themeTint="A6"/>
                <w:sz w:val="20"/>
                <w:szCs w:val="20"/>
              </w:rPr>
              <w:fldChar w:fldCharType="end"/>
            </w:r>
          </w:sdtContent>
        </w:sdt>
      </w:sdtContent>
    </w:sdt>
  </w:p>
  <w:p w14:paraId="2E85D665" w14:textId="06A6C71B" w:rsidR="00814BC5" w:rsidRPr="00814BC5" w:rsidRDefault="00814BC5">
    <w:pPr>
      <w:pStyle w:val="Footer"/>
      <w:rPr>
        <w:color w:val="595959" w:themeColor="text1" w:themeTint="A6"/>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4431" w14:textId="77777777" w:rsidR="006439AB" w:rsidRDefault="006439AB" w:rsidP="00814BC5">
      <w:r>
        <w:separator/>
      </w:r>
    </w:p>
  </w:footnote>
  <w:footnote w:type="continuationSeparator" w:id="0">
    <w:p w14:paraId="7CF41EED" w14:textId="77777777" w:rsidR="006439AB" w:rsidRDefault="006439AB" w:rsidP="00814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B32D" w14:textId="4C2617FE" w:rsidR="00814BC5" w:rsidRDefault="00814BC5">
    <w:pPr>
      <w:pStyle w:val="Header"/>
    </w:pPr>
    <w:r>
      <w:rPr>
        <w:noProof/>
      </w:rPr>
      <w:drawing>
        <wp:anchor distT="0" distB="0" distL="114300" distR="114300" simplePos="0" relativeHeight="251658240" behindDoc="0" locked="0" layoutInCell="1" allowOverlap="1" wp14:anchorId="6C735A04" wp14:editId="2990DDB7">
          <wp:simplePos x="0" y="0"/>
          <wp:positionH relativeFrom="column">
            <wp:posOffset>4869180</wp:posOffset>
          </wp:positionH>
          <wp:positionV relativeFrom="paragraph">
            <wp:posOffset>-281940</wp:posOffset>
          </wp:positionV>
          <wp:extent cx="1226820" cy="927596"/>
          <wp:effectExtent l="0" t="0" r="0" b="6350"/>
          <wp:wrapNone/>
          <wp:docPr id="4" name="Picture 3">
            <a:extLst xmlns:a="http://schemas.openxmlformats.org/drawingml/2006/main">
              <a:ext uri="{FF2B5EF4-FFF2-40B4-BE49-F238E27FC236}">
                <a16:creationId xmlns:a16="http://schemas.microsoft.com/office/drawing/2014/main" id="{856598A1-912C-8C65-BF44-E4D3532303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56598A1-912C-8C65-BF44-E4D3532303D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6820" cy="9275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B73F1"/>
    <w:multiLevelType w:val="hybridMultilevel"/>
    <w:tmpl w:val="7CF43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4AD680B"/>
    <w:multiLevelType w:val="multilevel"/>
    <w:tmpl w:val="7B24A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38443796">
    <w:abstractNumId w:val="1"/>
  </w:num>
  <w:num w:numId="2" w16cid:durableId="597298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C5"/>
    <w:rsid w:val="000236AD"/>
    <w:rsid w:val="003C0396"/>
    <w:rsid w:val="00406401"/>
    <w:rsid w:val="006439AB"/>
    <w:rsid w:val="007F5C18"/>
    <w:rsid w:val="00814BC5"/>
    <w:rsid w:val="00960BFA"/>
    <w:rsid w:val="00B43A94"/>
    <w:rsid w:val="00BA02A7"/>
    <w:rsid w:val="00C2565C"/>
    <w:rsid w:val="00DD36A2"/>
    <w:rsid w:val="00F70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CC55"/>
  <w15:chartTrackingRefBased/>
  <w15:docId w15:val="{FB0D6EA4-9DA1-4D45-821D-CD2B6171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BC5"/>
    <w:pPr>
      <w:spacing w:after="0" w:line="240" w:lineRule="auto"/>
    </w:pPr>
    <w:rPr>
      <w:rFonts w:ascii="Aptos" w:hAnsi="Aptos" w:cs="Aptos"/>
      <w:kern w:val="0"/>
      <w:sz w:val="24"/>
      <w:szCs w:val="24"/>
    </w:rPr>
  </w:style>
  <w:style w:type="paragraph" w:styleId="Heading1">
    <w:name w:val="heading 1"/>
    <w:basedOn w:val="Normal"/>
    <w:next w:val="Normal"/>
    <w:link w:val="Heading1Char"/>
    <w:uiPriority w:val="9"/>
    <w:qFormat/>
    <w:rsid w:val="00814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B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B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B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B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BC5"/>
    <w:rPr>
      <w:rFonts w:eastAsiaTheme="majorEastAsia" w:cstheme="majorBidi"/>
      <w:color w:val="272727" w:themeColor="text1" w:themeTint="D8"/>
    </w:rPr>
  </w:style>
  <w:style w:type="paragraph" w:styleId="Title">
    <w:name w:val="Title"/>
    <w:basedOn w:val="Normal"/>
    <w:next w:val="Normal"/>
    <w:link w:val="TitleChar"/>
    <w:uiPriority w:val="10"/>
    <w:qFormat/>
    <w:rsid w:val="00814B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BC5"/>
    <w:pPr>
      <w:spacing w:before="160"/>
      <w:jc w:val="center"/>
    </w:pPr>
    <w:rPr>
      <w:i/>
      <w:iCs/>
      <w:color w:val="404040" w:themeColor="text1" w:themeTint="BF"/>
    </w:rPr>
  </w:style>
  <w:style w:type="character" w:customStyle="1" w:styleId="QuoteChar">
    <w:name w:val="Quote Char"/>
    <w:basedOn w:val="DefaultParagraphFont"/>
    <w:link w:val="Quote"/>
    <w:uiPriority w:val="29"/>
    <w:rsid w:val="00814BC5"/>
    <w:rPr>
      <w:i/>
      <w:iCs/>
      <w:color w:val="404040" w:themeColor="text1" w:themeTint="BF"/>
    </w:rPr>
  </w:style>
  <w:style w:type="paragraph" w:styleId="ListParagraph">
    <w:name w:val="List Paragraph"/>
    <w:aliases w:val="Bullet List"/>
    <w:basedOn w:val="Normal"/>
    <w:link w:val="ListParagraphChar"/>
    <w:uiPriority w:val="34"/>
    <w:qFormat/>
    <w:rsid w:val="00814BC5"/>
    <w:pPr>
      <w:ind w:left="720"/>
      <w:contextualSpacing/>
    </w:pPr>
  </w:style>
  <w:style w:type="character" w:styleId="IntenseEmphasis">
    <w:name w:val="Intense Emphasis"/>
    <w:basedOn w:val="DefaultParagraphFont"/>
    <w:uiPriority w:val="21"/>
    <w:qFormat/>
    <w:rsid w:val="00814BC5"/>
    <w:rPr>
      <w:i/>
      <w:iCs/>
      <w:color w:val="0F4761" w:themeColor="accent1" w:themeShade="BF"/>
    </w:rPr>
  </w:style>
  <w:style w:type="paragraph" w:styleId="IntenseQuote">
    <w:name w:val="Intense Quote"/>
    <w:basedOn w:val="Normal"/>
    <w:next w:val="Normal"/>
    <w:link w:val="IntenseQuoteChar"/>
    <w:uiPriority w:val="30"/>
    <w:qFormat/>
    <w:rsid w:val="00814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BC5"/>
    <w:rPr>
      <w:i/>
      <w:iCs/>
      <w:color w:val="0F4761" w:themeColor="accent1" w:themeShade="BF"/>
    </w:rPr>
  </w:style>
  <w:style w:type="character" w:styleId="IntenseReference">
    <w:name w:val="Intense Reference"/>
    <w:basedOn w:val="DefaultParagraphFont"/>
    <w:uiPriority w:val="32"/>
    <w:qFormat/>
    <w:rsid w:val="00814BC5"/>
    <w:rPr>
      <w:b/>
      <w:bCs/>
      <w:smallCaps/>
      <w:color w:val="0F4761" w:themeColor="accent1" w:themeShade="BF"/>
      <w:spacing w:val="5"/>
    </w:rPr>
  </w:style>
  <w:style w:type="character" w:customStyle="1" w:styleId="ListParagraphChar">
    <w:name w:val="List Paragraph Char"/>
    <w:aliases w:val="Bullet List Char"/>
    <w:basedOn w:val="DefaultParagraphFont"/>
    <w:link w:val="ListParagraph"/>
    <w:uiPriority w:val="34"/>
    <w:locked/>
    <w:rsid w:val="00814BC5"/>
  </w:style>
  <w:style w:type="paragraph" w:customStyle="1" w:styleId="xxmsonormal">
    <w:name w:val="x_xmsonormal"/>
    <w:basedOn w:val="Normal"/>
    <w:rsid w:val="00814BC5"/>
    <w:rPr>
      <w:lang w:eastAsia="en-GB"/>
      <w14:ligatures w14:val="none"/>
    </w:rPr>
  </w:style>
  <w:style w:type="paragraph" w:styleId="Header">
    <w:name w:val="header"/>
    <w:basedOn w:val="Normal"/>
    <w:link w:val="HeaderChar"/>
    <w:uiPriority w:val="99"/>
    <w:unhideWhenUsed/>
    <w:rsid w:val="00814BC5"/>
    <w:pPr>
      <w:tabs>
        <w:tab w:val="center" w:pos="4513"/>
        <w:tab w:val="right" w:pos="9026"/>
      </w:tabs>
    </w:pPr>
  </w:style>
  <w:style w:type="character" w:customStyle="1" w:styleId="HeaderChar">
    <w:name w:val="Header Char"/>
    <w:basedOn w:val="DefaultParagraphFont"/>
    <w:link w:val="Header"/>
    <w:uiPriority w:val="99"/>
    <w:rsid w:val="00814BC5"/>
    <w:rPr>
      <w:rFonts w:ascii="Aptos" w:hAnsi="Aptos" w:cs="Aptos"/>
      <w:kern w:val="0"/>
      <w:sz w:val="24"/>
      <w:szCs w:val="24"/>
    </w:rPr>
  </w:style>
  <w:style w:type="paragraph" w:styleId="Footer">
    <w:name w:val="footer"/>
    <w:basedOn w:val="Normal"/>
    <w:link w:val="FooterChar"/>
    <w:uiPriority w:val="99"/>
    <w:unhideWhenUsed/>
    <w:rsid w:val="00814BC5"/>
    <w:pPr>
      <w:tabs>
        <w:tab w:val="center" w:pos="4513"/>
        <w:tab w:val="right" w:pos="9026"/>
      </w:tabs>
    </w:pPr>
  </w:style>
  <w:style w:type="character" w:customStyle="1" w:styleId="FooterChar">
    <w:name w:val="Footer Char"/>
    <w:basedOn w:val="DefaultParagraphFont"/>
    <w:link w:val="Footer"/>
    <w:uiPriority w:val="99"/>
    <w:rsid w:val="00814BC5"/>
    <w:rPr>
      <w:rFonts w:ascii="Aptos" w:hAnsi="Aptos" w:cs="Apto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1129</Words>
  <Characters>6441</Characters>
  <Application>Microsoft Office Word</Application>
  <DocSecurity>4</DocSecurity>
  <Lines>53</Lines>
  <Paragraphs>15</Paragraphs>
  <ScaleCrop>false</ScaleCrop>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Strange</dc:creator>
  <cp:keywords/>
  <dc:description/>
  <cp:lastModifiedBy>Maria Ferreira [elf] (Staff)</cp:lastModifiedBy>
  <cp:revision>2</cp:revision>
  <cp:lastPrinted>2026-03-24T16:53:00Z</cp:lastPrinted>
  <dcterms:created xsi:type="dcterms:W3CDTF">2026-06-19T08:38:00Z</dcterms:created>
  <dcterms:modified xsi:type="dcterms:W3CDTF">2026-06-19T08:38:00Z</dcterms:modified>
</cp:coreProperties>
</file>